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B0" w:rsidRPr="00DD66B0" w:rsidRDefault="00DD66B0" w:rsidP="00DD66B0">
      <w:pPr>
        <w:pStyle w:val="NormalWeb"/>
        <w:spacing w:before="2" w:after="2"/>
        <w:jc w:val="center"/>
        <w:rPr>
          <w:rFonts w:ascii="Arial" w:hAnsi="Arial"/>
          <w:b/>
          <w:sz w:val="52"/>
          <w:szCs w:val="27"/>
          <w:lang w:val="fr-FR"/>
        </w:rPr>
      </w:pPr>
      <w:r w:rsidRPr="00DD66B0">
        <w:rPr>
          <w:rStyle w:val="goog-gtc-translatablegoog-gtc-from-mt"/>
          <w:rFonts w:ascii="Arial" w:hAnsi="Arial"/>
          <w:b/>
          <w:sz w:val="52"/>
          <w:szCs w:val="27"/>
          <w:lang w:val="fr-FR"/>
        </w:rPr>
        <w:t xml:space="preserve">Surveillance </w:t>
      </w:r>
      <w:r w:rsidR="006F443F">
        <w:rPr>
          <w:rStyle w:val="goog-gtc-translatablegoog-gtc-from-mt"/>
          <w:rFonts w:ascii="Arial" w:hAnsi="Arial"/>
          <w:b/>
          <w:sz w:val="52"/>
          <w:szCs w:val="27"/>
          <w:lang w:val="fr-FR"/>
        </w:rPr>
        <w:t xml:space="preserve">policière </w:t>
      </w:r>
      <w:r w:rsidRPr="00DD66B0">
        <w:rPr>
          <w:rStyle w:val="goog-gtc-translatablegoog-gtc-from-mt"/>
          <w:rFonts w:ascii="Arial" w:hAnsi="Arial"/>
          <w:b/>
          <w:sz w:val="52"/>
          <w:szCs w:val="27"/>
          <w:lang w:val="fr-FR"/>
        </w:rPr>
        <w:t>de la transmission</w:t>
      </w:r>
    </w:p>
    <w:p w:rsidR="00DD66B0" w:rsidRPr="00DD66B0" w:rsidRDefault="00DD66B0" w:rsidP="00DD66B0">
      <w:pPr>
        <w:pStyle w:val="NormalWeb"/>
        <w:spacing w:before="2" w:after="2"/>
        <w:rPr>
          <w:rStyle w:val="goog-gtc-translatablegoog-gtc-from-mt"/>
        </w:rPr>
      </w:pPr>
    </w:p>
    <w:p w:rsidR="00DD66B0" w:rsidRPr="00DD66B0" w:rsidRDefault="00DD66B0" w:rsidP="00BB4CD6">
      <w:pPr>
        <w:pStyle w:val="NormalWeb"/>
        <w:spacing w:before="2" w:after="2"/>
        <w:jc w:val="center"/>
        <w:rPr>
          <w:rFonts w:ascii="Arial" w:hAnsi="Arial"/>
          <w:sz w:val="44"/>
          <w:szCs w:val="27"/>
          <w:lang w:val="fr-FR"/>
        </w:rPr>
      </w:pPr>
      <w:r w:rsidRPr="00DD66B0">
        <w:rPr>
          <w:rStyle w:val="goog-gtc-translatablegoog-gtc-from-mt"/>
          <w:rFonts w:ascii="Arial" w:hAnsi="Arial"/>
          <w:sz w:val="44"/>
          <w:szCs w:val="27"/>
          <w:lang w:val="fr-FR"/>
        </w:rPr>
        <w:t>Examen du traitement par la police des enquêtes pénales relatives à la transmission du VIH en Angleterre et au pays de Galles, 2005-2008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rFonts w:ascii="Arial" w:hAnsi="Arial"/>
          <w:sz w:val="32"/>
          <w:szCs w:val="27"/>
          <w:lang w:val="fr-FR"/>
        </w:rPr>
      </w:pPr>
      <w:r w:rsidRPr="00DD66B0">
        <w:rPr>
          <w:rStyle w:val="goog-gtc-translatablegoog-gtc-from-mt"/>
          <w:rFonts w:ascii="Arial" w:hAnsi="Arial"/>
          <w:sz w:val="32"/>
          <w:szCs w:val="27"/>
          <w:lang w:val="fr-FR"/>
        </w:rPr>
        <w:t>Résumé et recommandations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1.1 L'examen de la pratique </w:t>
      </w:r>
      <w:r>
        <w:rPr>
          <w:rStyle w:val="goog-gtc-translatablegoog-gtc-from-mt"/>
          <w:sz w:val="27"/>
          <w:szCs w:val="27"/>
          <w:lang w:val="fr-FR"/>
        </w:rPr>
        <w:t xml:space="preserve">de la police concernant les 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allégations de transmission du VIH </w:t>
      </w:r>
      <w:r>
        <w:rPr>
          <w:rStyle w:val="goog-gtc-translatablegoog-gtc-from-mt"/>
          <w:sz w:val="27"/>
          <w:szCs w:val="27"/>
          <w:lang w:val="fr-FR"/>
        </w:rPr>
        <w:t>se base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sur les conclusions diffusées de</w:t>
      </w:r>
      <w:r>
        <w:rPr>
          <w:rStyle w:val="goog-gtc-translatablegoog-gtc-from-mt"/>
          <w:sz w:val="27"/>
          <w:szCs w:val="27"/>
          <w:lang w:val="fr-FR"/>
        </w:rPr>
        <w:t>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</w:t>
      </w:r>
      <w:r w:rsidR="001A50F8">
        <w:rPr>
          <w:rStyle w:val="goog-gtc-translatablegoog-gtc-from-mt"/>
          <w:sz w:val="27"/>
          <w:szCs w:val="27"/>
          <w:lang w:val="fr-FR"/>
        </w:rPr>
        <w:t>dossiers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"</w:t>
      </w:r>
      <w:r>
        <w:rPr>
          <w:rStyle w:val="goog-gtc-translatablegoog-gtc-from-mt"/>
          <w:sz w:val="27"/>
          <w:szCs w:val="27"/>
          <w:lang w:val="fr-FR"/>
        </w:rPr>
        <w:t xml:space="preserve">d’affaires </w:t>
      </w:r>
      <w:r w:rsidRPr="00DD66B0">
        <w:rPr>
          <w:rStyle w:val="goog-gtc-translatablegoog-gtc-from-mt"/>
          <w:sz w:val="27"/>
          <w:szCs w:val="27"/>
          <w:lang w:val="fr-FR"/>
        </w:rPr>
        <w:t>clos</w:t>
      </w:r>
      <w:r>
        <w:rPr>
          <w:rStyle w:val="goog-gtc-translatablegoog-gtc-from-mt"/>
          <w:sz w:val="27"/>
          <w:szCs w:val="27"/>
          <w:lang w:val="fr-FR"/>
        </w:rPr>
        <w:t>es</w:t>
      </w:r>
      <w:r w:rsidRPr="00DD66B0">
        <w:rPr>
          <w:rStyle w:val="goog-gtc-translatablegoog-gtc-from-mt"/>
          <w:sz w:val="27"/>
          <w:szCs w:val="27"/>
          <w:lang w:val="fr-FR"/>
        </w:rPr>
        <w:t>" reçus de</w:t>
      </w:r>
      <w:r>
        <w:rPr>
          <w:rStyle w:val="goog-gtc-translatablegoog-gtc-from-mt"/>
          <w:sz w:val="27"/>
          <w:szCs w:val="27"/>
          <w:lang w:val="fr-FR"/>
        </w:rPr>
        <w:t>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forces </w:t>
      </w:r>
      <w:r w:rsidR="008A0E83">
        <w:rPr>
          <w:rStyle w:val="goog-gtc-translatablegoog-gtc-from-mt"/>
          <w:sz w:val="27"/>
          <w:szCs w:val="27"/>
          <w:lang w:val="fr-FR"/>
        </w:rPr>
        <w:t xml:space="preserve">de l’ordre 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nationales </w:t>
      </w:r>
      <w:r w:rsidR="008A0E83">
        <w:rPr>
          <w:rStyle w:val="goog-gtc-translatablegoog-gtc-from-mt"/>
          <w:sz w:val="27"/>
          <w:szCs w:val="27"/>
          <w:lang w:val="fr-FR"/>
        </w:rPr>
        <w:t xml:space="preserve">en </w:t>
      </w:r>
      <w:r w:rsidRPr="00DD66B0">
        <w:rPr>
          <w:rStyle w:val="goog-gtc-translatablegoog-gtc-from-mt"/>
          <w:sz w:val="27"/>
          <w:szCs w:val="27"/>
          <w:lang w:val="fr-FR"/>
        </w:rPr>
        <w:t>Angleterre.</w:t>
      </w:r>
      <w:r w:rsidRPr="00DD66B0">
        <w:rPr>
          <w:sz w:val="27"/>
          <w:szCs w:val="27"/>
          <w:lang w:val="fr-FR"/>
        </w:rPr>
        <w:t> 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Cette première phase de travail a été entreprise par un agent de l’ACPO (Association des chefs de police) et </w:t>
      </w:r>
      <w:r w:rsidR="008A0E83">
        <w:rPr>
          <w:rStyle w:val="goog-gtc-translatablegoog-gtc-from-mt"/>
          <w:sz w:val="27"/>
          <w:szCs w:val="27"/>
          <w:lang w:val="fr-FR"/>
        </w:rPr>
        <w:t>a été soutenue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sur le plan administratif par </w:t>
      </w:r>
      <w:r w:rsidR="008A0E83">
        <w:rPr>
          <w:rStyle w:val="goog-gtc-translatablegoog-gtc-from-mt"/>
          <w:sz w:val="27"/>
          <w:szCs w:val="27"/>
          <w:lang w:val="fr-FR"/>
        </w:rPr>
        <w:t>le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personnel de police du </w:t>
      </w:r>
      <w:r w:rsidR="008A0E83">
        <w:rPr>
          <w:rStyle w:val="goog-gtc-translatablegoog-gtc-from-mt"/>
          <w:sz w:val="27"/>
          <w:szCs w:val="27"/>
          <w:lang w:val="fr-FR"/>
        </w:rPr>
        <w:t>SPM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(Service de police métropolitain).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1.2 Ces </w:t>
      </w:r>
      <w:r w:rsidR="001A50F8">
        <w:rPr>
          <w:rStyle w:val="goog-gtc-translatablegoog-gtc-from-mt"/>
          <w:sz w:val="27"/>
          <w:szCs w:val="27"/>
          <w:lang w:val="fr-FR"/>
        </w:rPr>
        <w:t>dossiers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ont été analysés par l'agent et les rapports qui en ont résulté ont servi de base à </w:t>
      </w:r>
      <w:r w:rsidR="001A50F8">
        <w:rPr>
          <w:rStyle w:val="goog-gtc-translatablegoog-gtc-from-mt"/>
          <w:sz w:val="27"/>
          <w:szCs w:val="27"/>
          <w:lang w:val="fr-FR"/>
        </w:rPr>
        <w:t>l’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examen </w:t>
      </w:r>
      <w:r w:rsidR="008A0E83">
        <w:rPr>
          <w:rStyle w:val="goog-gtc-translatablegoog-gtc-from-mt"/>
          <w:sz w:val="27"/>
          <w:szCs w:val="27"/>
          <w:lang w:val="fr-FR"/>
        </w:rPr>
        <w:t xml:space="preserve">effectué 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par un groupe consultatif communautaire composé </w:t>
      </w:r>
      <w:r w:rsidR="008A0E83">
        <w:rPr>
          <w:rStyle w:val="goog-gtc-translatablegoog-gtc-from-mt"/>
          <w:sz w:val="27"/>
          <w:szCs w:val="27"/>
          <w:lang w:val="fr-FR"/>
        </w:rPr>
        <w:t>d’intervenants clés, qui se sont appuyés sur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leurs expériences en matière d'enquêtes et des communautés touchées.</w:t>
      </w:r>
      <w:r w:rsidRPr="00DD66B0">
        <w:rPr>
          <w:sz w:val="27"/>
          <w:szCs w:val="27"/>
          <w:lang w:val="fr-FR"/>
        </w:rPr>
        <w:t> 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Ce </w:t>
      </w:r>
      <w:r w:rsidR="008A0E83">
        <w:rPr>
          <w:rStyle w:val="goog-gtc-translatablegoog-gtc-from-mt"/>
          <w:sz w:val="27"/>
          <w:szCs w:val="27"/>
          <w:lang w:val="fr-FR"/>
        </w:rPr>
        <w:t>groupe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a élaboré les recommandations et supervisé la rédaction du rapport conformément aux conclusions.</w:t>
      </w:r>
      <w:r w:rsidRPr="00DD66B0">
        <w:rPr>
          <w:sz w:val="27"/>
          <w:szCs w:val="27"/>
          <w:lang w:val="fr-FR"/>
        </w:rPr>
        <w:t> 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Le rapport qui en résulte comprend un certain nombre de recommandations </w:t>
      </w:r>
      <w:r w:rsidR="009F5B4C">
        <w:rPr>
          <w:rStyle w:val="goog-gtc-translatablegoog-gtc-from-mt"/>
          <w:sz w:val="27"/>
          <w:szCs w:val="27"/>
          <w:lang w:val="fr-FR"/>
        </w:rPr>
        <w:t>importantes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pour l’ACPO.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>1.3 L'examen a révélé que le VIH et l</w:t>
      </w:r>
      <w:r w:rsidR="009F5B4C">
        <w:rPr>
          <w:rStyle w:val="goog-gtc-translatablegoog-gtc-from-mt"/>
          <w:sz w:val="27"/>
          <w:szCs w:val="27"/>
          <w:lang w:val="fr-FR"/>
        </w:rPr>
        <w:t>’application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du droit pénal </w:t>
      </w:r>
      <w:r w:rsidR="009F5B4C">
        <w:rPr>
          <w:rStyle w:val="goog-gtc-translatablegoog-gtc-from-mt"/>
          <w:sz w:val="27"/>
          <w:szCs w:val="27"/>
          <w:lang w:val="fr-FR"/>
        </w:rPr>
        <w:t>au sujet de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sa transmission étaient souvent</w:t>
      </w:r>
      <w:r w:rsidR="009F5B4C">
        <w:rPr>
          <w:rStyle w:val="goog-gtc-translatablegoog-gtc-from-mt"/>
          <w:sz w:val="27"/>
          <w:szCs w:val="27"/>
          <w:lang w:val="fr-FR"/>
        </w:rPr>
        <w:t xml:space="preserve">, 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</w:t>
      </w:r>
      <w:r w:rsidR="009F5B4C" w:rsidRPr="00DD66B0">
        <w:rPr>
          <w:rStyle w:val="goog-gtc-translatablegoog-gtc-from-mt"/>
          <w:sz w:val="27"/>
          <w:szCs w:val="27"/>
          <w:lang w:val="fr-FR"/>
        </w:rPr>
        <w:t>en tant que condition récemment identifiée</w:t>
      </w:r>
      <w:r w:rsidR="009F5B4C">
        <w:rPr>
          <w:rStyle w:val="goog-gtc-translatablegoog-gtc-from-mt"/>
          <w:sz w:val="27"/>
          <w:szCs w:val="27"/>
          <w:lang w:val="fr-FR"/>
        </w:rPr>
        <w:t xml:space="preserve"> et comme application de la loi encore plus récente,  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mal </w:t>
      </w:r>
      <w:r w:rsidR="009F5B4C">
        <w:rPr>
          <w:rStyle w:val="goog-gtc-translatablegoog-gtc-from-mt"/>
          <w:sz w:val="27"/>
          <w:szCs w:val="27"/>
          <w:lang w:val="fr-FR"/>
        </w:rPr>
        <w:t>comprises</w:t>
      </w:r>
      <w:r w:rsidRPr="00DD66B0">
        <w:rPr>
          <w:rStyle w:val="goog-gtc-translatablegoog-gtc-from-mt"/>
          <w:sz w:val="27"/>
          <w:szCs w:val="27"/>
          <w:lang w:val="fr-FR"/>
        </w:rPr>
        <w:t>.</w:t>
      </w:r>
      <w:r w:rsidRPr="00DD66B0">
        <w:rPr>
          <w:sz w:val="27"/>
          <w:szCs w:val="27"/>
          <w:lang w:val="fr-FR"/>
        </w:rPr>
        <w:t> 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Cela a conduit à des disparités dans l'application de la loi et à </w:t>
      </w:r>
      <w:r w:rsidR="009F5B4C">
        <w:rPr>
          <w:rStyle w:val="goog-gtc-translatablegoog-gtc-from-mt"/>
          <w:sz w:val="27"/>
          <w:szCs w:val="27"/>
          <w:lang w:val="fr-FR"/>
        </w:rPr>
        <w:t>une absence de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pratique commune dans la </w:t>
      </w:r>
      <w:r w:rsidR="0021553D">
        <w:rPr>
          <w:rStyle w:val="goog-gtc-translatablegoog-gtc-from-mt"/>
          <w:sz w:val="27"/>
          <w:szCs w:val="27"/>
          <w:lang w:val="fr-FR"/>
        </w:rPr>
        <w:t>façon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dont les allégations </w:t>
      </w:r>
      <w:r w:rsidR="0021553D">
        <w:rPr>
          <w:rStyle w:val="goog-gtc-translatablegoog-gtc-from-mt"/>
          <w:sz w:val="27"/>
          <w:szCs w:val="27"/>
          <w:lang w:val="fr-FR"/>
        </w:rPr>
        <w:t>sont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examinées.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1.4 Toutefois, l’examen a également révélé un certain nombre d’exemples de bonnes pratiques et </w:t>
      </w:r>
      <w:r w:rsidR="0021553D">
        <w:rPr>
          <w:rStyle w:val="goog-gtc-translatablegoog-gtc-from-mt"/>
          <w:sz w:val="27"/>
          <w:szCs w:val="27"/>
          <w:lang w:val="fr-FR"/>
        </w:rPr>
        <w:t>d’améliorations possibles</w:t>
      </w:r>
      <w:r w:rsidRPr="00DD66B0">
        <w:rPr>
          <w:rStyle w:val="goog-gtc-translatablegoog-gtc-from-mt"/>
          <w:sz w:val="27"/>
          <w:szCs w:val="27"/>
          <w:lang w:val="fr-FR"/>
        </w:rPr>
        <w:t>.</w:t>
      </w:r>
      <w:r w:rsidRPr="00DD66B0">
        <w:rPr>
          <w:sz w:val="27"/>
          <w:szCs w:val="27"/>
          <w:lang w:val="fr-FR"/>
        </w:rPr>
        <w:t> 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Celles-ci sont </w:t>
      </w:r>
      <w:r w:rsidR="0021553D">
        <w:rPr>
          <w:rStyle w:val="goog-gtc-translatablegoog-gtc-from-mt"/>
          <w:sz w:val="27"/>
          <w:szCs w:val="27"/>
          <w:lang w:val="fr-FR"/>
        </w:rPr>
        <w:t>décrites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dans les recommandations ci-dessous: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21553D" w:rsidRDefault="0021553D" w:rsidP="00DD66B0">
      <w:pPr>
        <w:pStyle w:val="NormalWeb"/>
        <w:spacing w:before="2" w:after="2"/>
        <w:rPr>
          <w:rStyle w:val="goog-gtc-translatablegoog-gtc-from-mt"/>
        </w:rPr>
      </w:pPr>
    </w:p>
    <w:p w:rsidR="0021553D" w:rsidRDefault="0021553D" w:rsidP="00DD66B0">
      <w:pPr>
        <w:pStyle w:val="NormalWeb"/>
        <w:spacing w:before="2" w:after="2"/>
        <w:rPr>
          <w:rStyle w:val="goog-gtc-translatablegoog-gtc-from-mt"/>
        </w:rPr>
      </w:pPr>
    </w:p>
    <w:p w:rsidR="0021553D" w:rsidRDefault="00DD66B0" w:rsidP="00DD66B0">
      <w:pPr>
        <w:pStyle w:val="NormalWeb"/>
        <w:spacing w:before="2" w:after="2"/>
        <w:rPr>
          <w:rStyle w:val="goog-gtc-translatablegoog-gtc-from-mt"/>
        </w:rPr>
      </w:pPr>
      <w:r w:rsidRPr="0021553D">
        <w:rPr>
          <w:rStyle w:val="goog-gtc-translatablegoog-gtc-from-mt"/>
          <w:b/>
          <w:sz w:val="27"/>
          <w:szCs w:val="27"/>
          <w:lang w:val="fr-FR"/>
        </w:rPr>
        <w:t>Formation et soutien aux officiers</w:t>
      </w:r>
    </w:p>
    <w:p w:rsidR="00DD66B0" w:rsidRPr="0021553D" w:rsidRDefault="00DD66B0" w:rsidP="00DD66B0">
      <w:pPr>
        <w:pStyle w:val="NormalWeb"/>
        <w:spacing w:before="2" w:after="2"/>
        <w:rPr>
          <w:b/>
          <w:sz w:val="27"/>
          <w:szCs w:val="27"/>
          <w:lang w:val="fr-FR"/>
        </w:rPr>
      </w:pP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A. Une formation devrait être dispensée </w:t>
      </w:r>
      <w:r w:rsidR="0021553D">
        <w:rPr>
          <w:rStyle w:val="goog-gtc-translatablegoog-gtc-from-mt"/>
          <w:sz w:val="27"/>
          <w:szCs w:val="27"/>
          <w:lang w:val="fr-FR"/>
        </w:rPr>
        <w:t>à des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officiers désignés dans chaque force </w:t>
      </w:r>
      <w:r w:rsidR="0021553D">
        <w:rPr>
          <w:rStyle w:val="goog-gtc-translatablegoog-gtc-from-mt"/>
          <w:sz w:val="27"/>
          <w:szCs w:val="27"/>
          <w:lang w:val="fr-FR"/>
        </w:rPr>
        <w:t>pour aider à gérer ces affaires</w:t>
      </w:r>
      <w:r w:rsidRPr="00DD66B0">
        <w:rPr>
          <w:rStyle w:val="goog-gtc-translatablegoog-gtc-from-mt"/>
          <w:sz w:val="27"/>
          <w:szCs w:val="27"/>
          <w:lang w:val="fr-FR"/>
        </w:rPr>
        <w:t>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3377BB" w:rsidRDefault="00DD66B0" w:rsidP="003377BB">
      <w:pPr>
        <w:rPr>
          <w:rFonts w:ascii="Times" w:hAnsi="Times"/>
          <w:sz w:val="20"/>
          <w:szCs w:val="20"/>
          <w:lang w:val="en-GB"/>
        </w:rPr>
      </w:pPr>
      <w:r w:rsidRPr="00DD66B0">
        <w:rPr>
          <w:rStyle w:val="goog-gtc-translatablegoog-gtc-from-mt"/>
          <w:sz w:val="27"/>
          <w:szCs w:val="27"/>
        </w:rPr>
        <w:t xml:space="preserve">B. Toutes les allégations de </w:t>
      </w:r>
      <w:r w:rsidR="0021553D">
        <w:rPr>
          <w:rStyle w:val="goog-gtc-translatablegoog-gtc-from-mt"/>
          <w:sz w:val="27"/>
          <w:szCs w:val="27"/>
        </w:rPr>
        <w:t>dommages corporels graves</w:t>
      </w:r>
      <w:r w:rsidRPr="00DD66B0">
        <w:rPr>
          <w:rStyle w:val="goog-gtc-translatablegoog-gtc-from-mt"/>
          <w:sz w:val="27"/>
          <w:szCs w:val="27"/>
        </w:rPr>
        <w:t xml:space="preserve"> impliquant une transmission sexuelle doivent être examinées par des agents </w:t>
      </w:r>
      <w:r w:rsidR="003377BB">
        <w:rPr>
          <w:rStyle w:val="goog-gtc-translatablegoog-gtc-from-mt"/>
          <w:sz w:val="27"/>
          <w:szCs w:val="27"/>
        </w:rPr>
        <w:t xml:space="preserve">spécialement </w:t>
      </w:r>
      <w:r w:rsidR="003377BB" w:rsidRPr="003377BB">
        <w:rPr>
          <w:rStyle w:val="goog-gtc-translatablegoog-gtc-from-mt"/>
          <w:sz w:val="27"/>
          <w:szCs w:val="27"/>
        </w:rPr>
        <w:t>formés en matière de violences sexuelles</w:t>
      </w:r>
      <w:r w:rsidRPr="00DD66B0">
        <w:rPr>
          <w:rStyle w:val="goog-gtc-translatablegoog-gtc-from-mt"/>
          <w:sz w:val="27"/>
          <w:szCs w:val="27"/>
        </w:rPr>
        <w:t>, dans la mesure du possible.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C. L’ACPO devrait examiner la possibilité d’établir un registre national des </w:t>
      </w:r>
      <w:r w:rsidR="003377BB">
        <w:rPr>
          <w:rStyle w:val="goog-gtc-translatablegoog-gtc-from-mt"/>
          <w:sz w:val="27"/>
          <w:szCs w:val="27"/>
          <w:lang w:val="fr-FR"/>
        </w:rPr>
        <w:t>d’agent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s formés et expérimentés à la gestion de </w:t>
      </w:r>
      <w:r w:rsidR="003377BB">
        <w:rPr>
          <w:rStyle w:val="goog-gtc-translatablegoog-gtc-from-mt"/>
          <w:sz w:val="27"/>
          <w:szCs w:val="27"/>
          <w:lang w:val="fr-FR"/>
        </w:rPr>
        <w:t>ce type d’affaires</w:t>
      </w:r>
      <w:r w:rsidRPr="00DD66B0">
        <w:rPr>
          <w:rStyle w:val="goog-gtc-translatablegoog-gtc-from-mt"/>
          <w:sz w:val="27"/>
          <w:szCs w:val="27"/>
          <w:lang w:val="fr-FR"/>
        </w:rPr>
        <w:t>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3377BB" w:rsidP="00DD66B0">
      <w:pPr>
        <w:pStyle w:val="NormalWeb"/>
        <w:spacing w:before="2" w:after="2"/>
        <w:rPr>
          <w:sz w:val="27"/>
          <w:szCs w:val="27"/>
          <w:lang w:val="fr-FR"/>
        </w:rPr>
      </w:pPr>
      <w:r>
        <w:rPr>
          <w:rStyle w:val="goog-gtc-translatablegoog-gtc-from-mt"/>
          <w:sz w:val="27"/>
          <w:szCs w:val="27"/>
          <w:lang w:val="fr-FR"/>
        </w:rPr>
        <w:t>D. Le statut « d’</w:t>
      </w:r>
      <w:r w:rsidR="00DD66B0" w:rsidRPr="00DD66B0">
        <w:rPr>
          <w:rStyle w:val="goog-gtc-translatablegoog-gtc-from-mt"/>
          <w:sz w:val="27"/>
          <w:szCs w:val="27"/>
          <w:lang w:val="fr-FR"/>
        </w:rPr>
        <w:t xml:space="preserve">Incident critique» pourrait aider à accéder aux ressources nécessaires à la gestion de </w:t>
      </w:r>
      <w:r w:rsidR="006A7CE0">
        <w:rPr>
          <w:rStyle w:val="goog-gtc-translatablegoog-gtc-from-mt"/>
          <w:sz w:val="27"/>
          <w:szCs w:val="27"/>
          <w:lang w:val="fr-FR"/>
        </w:rPr>
        <w:t>ce type d’affaire</w:t>
      </w:r>
      <w:r w:rsidR="00DD66B0" w:rsidRPr="00DD66B0">
        <w:rPr>
          <w:rStyle w:val="goog-gtc-translatablegoog-gtc-from-mt"/>
          <w:sz w:val="27"/>
          <w:szCs w:val="27"/>
          <w:lang w:val="fr-FR"/>
        </w:rPr>
        <w:t xml:space="preserve"> et il conviendrait d’envisager d’utiliser cette désignation.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E. Les enquêteurs doivent avoir accès à des guides faciles à comprendre sur la loi dans ce domaine et aux directives </w:t>
      </w:r>
      <w:r w:rsidR="006A7CE0">
        <w:rPr>
          <w:rStyle w:val="goog-gtc-translatablegoog-gtc-from-mt"/>
          <w:sz w:val="27"/>
          <w:szCs w:val="27"/>
          <w:lang w:val="fr-FR"/>
        </w:rPr>
        <w:t>pertinentes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</w:t>
      </w:r>
      <w:r w:rsidR="006A7CE0">
        <w:rPr>
          <w:rStyle w:val="goog-gtc-translatablegoog-gtc-from-mt"/>
          <w:sz w:val="27"/>
          <w:szCs w:val="27"/>
          <w:lang w:val="fr-FR"/>
        </w:rPr>
        <w:t>du procureur de la couronne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, qui </w:t>
      </w:r>
      <w:r w:rsidR="006A7CE0">
        <w:rPr>
          <w:rStyle w:val="goog-gtc-translatablegoog-gtc-from-mt"/>
          <w:sz w:val="27"/>
          <w:szCs w:val="27"/>
          <w:lang w:val="fr-FR"/>
        </w:rPr>
        <w:t>pourraient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être fournis sur papier ou </w:t>
      </w:r>
      <w:r w:rsidR="006A7CE0">
        <w:rPr>
          <w:rStyle w:val="goog-gtc-translatablegoog-gtc-from-mt"/>
          <w:sz w:val="27"/>
          <w:szCs w:val="27"/>
          <w:lang w:val="fr-FR"/>
        </w:rPr>
        <w:t>disponible sur l’</w:t>
      </w:r>
      <w:r w:rsidRPr="00DD66B0">
        <w:rPr>
          <w:rStyle w:val="goog-gtc-translatablegoog-gtc-from-mt"/>
          <w:sz w:val="27"/>
          <w:szCs w:val="27"/>
          <w:lang w:val="fr-FR"/>
        </w:rPr>
        <w:t>Internet.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F. Ces </w:t>
      </w:r>
      <w:r w:rsidR="006A7CE0">
        <w:rPr>
          <w:rStyle w:val="goog-gtc-translatablegoog-gtc-from-mt"/>
          <w:sz w:val="27"/>
          <w:szCs w:val="27"/>
          <w:lang w:val="fr-FR"/>
        </w:rPr>
        <w:t>documents de référence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devraient également inclure des informations précises et actualisées sur le VIH et les IST, y compris </w:t>
      </w:r>
      <w:r w:rsidR="006A7CE0">
        <w:rPr>
          <w:rStyle w:val="goog-gtc-translatablegoog-gtc-from-mt"/>
          <w:sz w:val="27"/>
          <w:szCs w:val="27"/>
          <w:lang w:val="fr-FR"/>
        </w:rPr>
        <w:t xml:space="preserve">sur 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les risques réels de transmission </w:t>
      </w:r>
      <w:r w:rsidR="008C6DAA">
        <w:rPr>
          <w:rStyle w:val="goog-gtc-translatablegoog-gtc-from-mt"/>
          <w:sz w:val="27"/>
          <w:szCs w:val="27"/>
          <w:lang w:val="fr-FR"/>
        </w:rPr>
        <w:t>en fonction des activités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et contextes, ainsi que les implications d'un diagnostic positif sur la santé future d'une personne.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G. Il serait également utile que ces directives </w:t>
      </w:r>
      <w:r w:rsidR="008C6DAA">
        <w:rPr>
          <w:rStyle w:val="goog-gtc-translatablegoog-gtc-from-mt"/>
          <w:sz w:val="27"/>
          <w:szCs w:val="27"/>
          <w:lang w:val="fr-FR"/>
        </w:rPr>
        <w:t>comprennent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une liste d'agences externes </w:t>
      </w:r>
      <w:r w:rsidR="008C6DAA">
        <w:rPr>
          <w:rStyle w:val="goog-gtc-translatablegoog-gtc-from-mt"/>
          <w:sz w:val="27"/>
          <w:szCs w:val="27"/>
          <w:lang w:val="fr-FR"/>
        </w:rPr>
        <w:t>spécialisées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auprès desquelles les agents pourraient demander des conseils sur des circonstances spécifiques.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H. Une liste de contrôle des actions consécutives devrait être </w:t>
      </w:r>
      <w:r w:rsidR="008C6DAA">
        <w:rPr>
          <w:rStyle w:val="goog-gtc-translatablegoog-gtc-from-mt"/>
          <w:sz w:val="27"/>
          <w:szCs w:val="27"/>
          <w:lang w:val="fr-FR"/>
        </w:rPr>
        <w:t>établi</w:t>
      </w:r>
      <w:r w:rsidRPr="00DD66B0">
        <w:rPr>
          <w:rStyle w:val="goog-gtc-translatablegoog-gtc-from-mt"/>
          <w:sz w:val="27"/>
          <w:szCs w:val="27"/>
          <w:lang w:val="fr-FR"/>
        </w:rPr>
        <w:t>e</w:t>
      </w:r>
      <w:r w:rsidR="008C6DAA">
        <w:rPr>
          <w:rStyle w:val="goog-gtc-translatablegoog-gtc-from-mt"/>
          <w:sz w:val="27"/>
          <w:szCs w:val="27"/>
          <w:lang w:val="fr-FR"/>
        </w:rPr>
        <w:t xml:space="preserve"> pour aider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les agents à comprendre ce qui doit être prouvé ou pris en compte à chaque étape de l'enquête afin de procéder de manière appropriée.</w:t>
      </w:r>
      <w:r w:rsidRPr="00DD66B0">
        <w:rPr>
          <w:sz w:val="27"/>
          <w:szCs w:val="27"/>
          <w:lang w:val="fr-FR"/>
        </w:rPr>
        <w:t> </w:t>
      </w:r>
      <w:r w:rsidRPr="00DD66B0">
        <w:rPr>
          <w:rStyle w:val="goog-gtc-translatablegoog-gtc-from-mt"/>
          <w:sz w:val="27"/>
          <w:szCs w:val="27"/>
          <w:lang w:val="fr-FR"/>
        </w:rPr>
        <w:t>Cela devrait inclure les recommandations 9-15.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I. Une série de questions standard devrait être élaborée, éventuellement dans le cadre de la liste de contrôle, afin de déterminer rapidement </w:t>
      </w:r>
      <w:r w:rsidR="008C6DAA">
        <w:rPr>
          <w:rStyle w:val="goog-gtc-translatablegoog-gtc-from-mt"/>
          <w:sz w:val="27"/>
          <w:szCs w:val="27"/>
          <w:lang w:val="fr-FR"/>
        </w:rPr>
        <w:t>s’il s’agit d’une affaire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viable et de prendre les mesures qui s'imposent.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J. </w:t>
      </w:r>
      <w:r w:rsidR="000C7085">
        <w:rPr>
          <w:rStyle w:val="goog-gtc-translatablegoog-gtc-from-mt"/>
          <w:sz w:val="27"/>
          <w:szCs w:val="27"/>
          <w:lang w:val="fr-FR"/>
        </w:rPr>
        <w:t>Dans l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es cas </w:t>
      </w:r>
      <w:r w:rsidR="000C7085">
        <w:rPr>
          <w:rStyle w:val="goog-gtc-translatablegoog-gtc-from-mt"/>
          <w:sz w:val="27"/>
          <w:szCs w:val="27"/>
          <w:lang w:val="fr-FR"/>
        </w:rPr>
        <w:t>où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</w:t>
      </w:r>
      <w:r w:rsidR="000C7085">
        <w:rPr>
          <w:rStyle w:val="goog-gtc-translatablegoog-gtc-from-mt"/>
          <w:sz w:val="27"/>
          <w:szCs w:val="27"/>
          <w:lang w:val="fr-FR"/>
        </w:rPr>
        <w:t>le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plaignant affirme que l'acte sexuel n'a eu lieu avec l'accusé </w:t>
      </w:r>
      <w:r w:rsidR="008C6DAA">
        <w:rPr>
          <w:rStyle w:val="goog-gtc-translatablegoog-gtc-from-mt"/>
          <w:sz w:val="27"/>
          <w:szCs w:val="27"/>
          <w:lang w:val="fr-FR"/>
        </w:rPr>
        <w:t>qu’</w:t>
      </w:r>
      <w:r w:rsidR="000C7085">
        <w:rPr>
          <w:rStyle w:val="goog-gtc-translatablegoog-gtc-from-mt"/>
          <w:sz w:val="27"/>
          <w:szCs w:val="27"/>
          <w:lang w:val="fr-FR"/>
        </w:rPr>
        <w:t>au cours des derniers jours, il serait utile de faire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</w:t>
      </w:r>
      <w:proofErr w:type="spellStart"/>
      <w:r w:rsidR="000C7085">
        <w:rPr>
          <w:rStyle w:val="goog-gtc-translatablegoog-gtc-from-mt"/>
          <w:sz w:val="27"/>
          <w:szCs w:val="27"/>
          <w:lang w:val="fr-FR"/>
        </w:rPr>
        <w:t>faire</w:t>
      </w:r>
      <w:proofErr w:type="spellEnd"/>
      <w:r w:rsidR="000C7085">
        <w:rPr>
          <w:rStyle w:val="goog-gtc-translatablegoog-gtc-from-mt"/>
          <w:sz w:val="27"/>
          <w:szCs w:val="27"/>
          <w:lang w:val="fr-FR"/>
        </w:rPr>
        <w:t xml:space="preserve"> 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un test de dépistage du VIH </w:t>
      </w:r>
      <w:r w:rsidR="000C7085">
        <w:rPr>
          <w:rStyle w:val="goog-gtc-translatablegoog-gtc-from-mt"/>
          <w:sz w:val="27"/>
          <w:szCs w:val="27"/>
          <w:lang w:val="fr-FR"/>
        </w:rPr>
        <w:t xml:space="preserve"> à 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l'accusateur afin de déterminer s'il </w:t>
      </w:r>
      <w:r w:rsidR="000C7085">
        <w:rPr>
          <w:rStyle w:val="goog-gtc-translatablegoog-gtc-from-mt"/>
          <w:sz w:val="27"/>
          <w:szCs w:val="27"/>
          <w:lang w:val="fr-FR"/>
        </w:rPr>
        <w:t xml:space="preserve">ou elle </w:t>
      </w:r>
      <w:r w:rsidRPr="00DD66B0">
        <w:rPr>
          <w:rStyle w:val="goog-gtc-translatablegoog-gtc-from-mt"/>
          <w:sz w:val="27"/>
          <w:szCs w:val="27"/>
          <w:lang w:val="fr-FR"/>
        </w:rPr>
        <w:t>était déjà infecté</w:t>
      </w:r>
      <w:r w:rsidR="000C7085">
        <w:rPr>
          <w:rStyle w:val="goog-gtc-translatablegoog-gtc-from-mt"/>
          <w:sz w:val="27"/>
          <w:szCs w:val="27"/>
          <w:lang w:val="fr-FR"/>
        </w:rPr>
        <w:t>(e)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avant la plainte.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K. </w:t>
      </w:r>
      <w:r w:rsidR="00960BBC">
        <w:rPr>
          <w:rStyle w:val="goog-gtc-translatablegoog-gtc-from-mt"/>
          <w:sz w:val="27"/>
          <w:szCs w:val="27"/>
          <w:lang w:val="fr-FR"/>
        </w:rPr>
        <w:t>Une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preuve du statut </w:t>
      </w:r>
      <w:r w:rsidR="00960BBC">
        <w:rPr>
          <w:rStyle w:val="goog-gtc-translatablegoog-gtc-from-mt"/>
          <w:sz w:val="27"/>
          <w:szCs w:val="27"/>
          <w:lang w:val="fr-FR"/>
        </w:rPr>
        <w:t>sérologique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des deux parties devrait être obtenue avant toute accusation relative à la transmission.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L. Lorsqu'une plainte concerne une activité sexuelle au cours des dernières 72 heures, une prophylaxie </w:t>
      </w:r>
      <w:proofErr w:type="spellStart"/>
      <w:r w:rsidRPr="00DD66B0">
        <w:rPr>
          <w:rStyle w:val="goog-gtc-translatablegoog-gtc-from-mt"/>
          <w:sz w:val="27"/>
          <w:szCs w:val="27"/>
          <w:lang w:val="fr-FR"/>
        </w:rPr>
        <w:t>post-exposition</w:t>
      </w:r>
      <w:proofErr w:type="spellEnd"/>
      <w:r w:rsidRPr="00DD66B0">
        <w:rPr>
          <w:rStyle w:val="goog-gtc-translatablegoog-gtc-from-mt"/>
          <w:sz w:val="27"/>
          <w:szCs w:val="27"/>
          <w:lang w:val="fr-FR"/>
        </w:rPr>
        <w:t xml:space="preserve"> devrait toujours être proposée au plaignant.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M. Les agents </w:t>
      </w:r>
      <w:r w:rsidR="00960BBC">
        <w:rPr>
          <w:rStyle w:val="goog-gtc-translatablegoog-gtc-from-mt"/>
          <w:sz w:val="27"/>
          <w:szCs w:val="27"/>
          <w:lang w:val="fr-FR"/>
        </w:rPr>
        <w:t>doivent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envisager d’attendre la confirmation de la transmission avant de procéder à une arrestation et à une enquête.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N. Une enquête plus large allant au-delà du plaignant initial ne devrait être ouverte que s’il est clair </w:t>
      </w:r>
      <w:r w:rsidR="00474B5F">
        <w:rPr>
          <w:rStyle w:val="goog-gtc-translatablegoog-gtc-from-mt"/>
          <w:sz w:val="27"/>
          <w:szCs w:val="27"/>
          <w:lang w:val="fr-FR"/>
        </w:rPr>
        <w:t>que ce plaignant a contracté le VIH et qu’une inculp</w:t>
      </w:r>
      <w:r w:rsidRPr="00DD66B0">
        <w:rPr>
          <w:rStyle w:val="goog-gtc-translatablegoog-gtc-from-mt"/>
          <w:sz w:val="27"/>
          <w:szCs w:val="27"/>
          <w:lang w:val="fr-FR"/>
        </w:rPr>
        <w:t>ation est possible.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BB4CD6" w:rsidRDefault="00DD66B0" w:rsidP="00DD66B0">
      <w:pPr>
        <w:pStyle w:val="NormalWeb"/>
        <w:spacing w:before="2" w:after="2"/>
        <w:rPr>
          <w:rStyle w:val="goog-gtc-translatablegoog-gtc-from-mt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O. Aucun plaidoyer ne devrait être accepté sans </w:t>
      </w:r>
      <w:r w:rsidR="00474B5F">
        <w:rPr>
          <w:rStyle w:val="goog-gtc-translatablegoog-gtc-from-mt"/>
          <w:sz w:val="27"/>
          <w:szCs w:val="27"/>
          <w:lang w:val="fr-FR"/>
        </w:rPr>
        <w:t>effectuer un contrôle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virologique et </w:t>
      </w:r>
      <w:r w:rsidR="00474B5F">
        <w:rPr>
          <w:rStyle w:val="goog-gtc-translatablegoog-gtc-from-mt"/>
          <w:sz w:val="27"/>
          <w:szCs w:val="27"/>
          <w:lang w:val="fr-FR"/>
        </w:rPr>
        <w:t>sans prendre note des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antécédents sexuels des deux parties, comme indiqué dans les instructions du service des poursuites de la Couronne</w:t>
      </w:r>
      <w:r w:rsidR="00474B5F">
        <w:rPr>
          <w:rStyle w:val="goog-gtc-translatablegoog-gtc-from-mt"/>
          <w:sz w:val="27"/>
          <w:szCs w:val="27"/>
          <w:lang w:val="fr-FR"/>
        </w:rPr>
        <w:t xml:space="preserve"> </w:t>
      </w:r>
    </w:p>
    <w:p w:rsidR="00BB4CD6" w:rsidRDefault="00BB4CD6" w:rsidP="00DD66B0">
      <w:pPr>
        <w:pStyle w:val="NormalWeb"/>
        <w:spacing w:before="2" w:after="2"/>
        <w:rPr>
          <w:rStyle w:val="goog-gtc-translatablegoog-gtc-from-mt"/>
        </w:rPr>
      </w:pPr>
    </w:p>
    <w:p w:rsidR="00DD66B0" w:rsidRPr="00BB4CD6" w:rsidRDefault="00DD66B0" w:rsidP="00DD66B0">
      <w:pPr>
        <w:pStyle w:val="NormalWeb"/>
        <w:spacing w:before="2" w:after="2"/>
        <w:rPr>
          <w:b/>
          <w:sz w:val="27"/>
          <w:szCs w:val="27"/>
          <w:lang w:val="fr-FR"/>
        </w:rPr>
      </w:pPr>
      <w:r w:rsidRPr="00BB4CD6">
        <w:rPr>
          <w:rStyle w:val="goog-gtc-translatablegoog-gtc-from-mt"/>
          <w:b/>
          <w:sz w:val="27"/>
          <w:szCs w:val="27"/>
          <w:lang w:val="fr-FR"/>
        </w:rPr>
        <w:t>Gestion de problèmes spécifiques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P. </w:t>
      </w:r>
      <w:r w:rsidR="00474B5F">
        <w:rPr>
          <w:rStyle w:val="goog-gtc-translatablegoog-gtc-from-mt"/>
          <w:sz w:val="27"/>
          <w:szCs w:val="27"/>
          <w:lang w:val="fr-FR"/>
        </w:rPr>
        <w:t>Il convient de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prendre des précautions dans les </w:t>
      </w:r>
      <w:r w:rsidR="00474B5F">
        <w:rPr>
          <w:rStyle w:val="goog-gtc-translatablegoog-gtc-from-mt"/>
          <w:sz w:val="27"/>
          <w:szCs w:val="27"/>
          <w:lang w:val="fr-FR"/>
        </w:rPr>
        <w:t>affaires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où la transmission du VIH constitue une </w:t>
      </w:r>
      <w:proofErr w:type="spellStart"/>
      <w:r w:rsidRPr="00DD66B0">
        <w:rPr>
          <w:rStyle w:val="goog-gtc-translatablegoog-gtc-from-mt"/>
          <w:sz w:val="27"/>
          <w:szCs w:val="27"/>
          <w:lang w:val="fr-FR"/>
        </w:rPr>
        <w:t>contre-allégation</w:t>
      </w:r>
      <w:proofErr w:type="spellEnd"/>
      <w:r w:rsidRPr="00DD66B0">
        <w:rPr>
          <w:rStyle w:val="goog-gtc-translatablegoog-gtc-from-mt"/>
          <w:sz w:val="27"/>
          <w:szCs w:val="27"/>
          <w:lang w:val="fr-FR"/>
        </w:rPr>
        <w:t xml:space="preserve"> émanant d'une personne accusée d'autres crimes ou </w:t>
      </w:r>
      <w:r w:rsidR="00474B5F">
        <w:rPr>
          <w:rStyle w:val="goog-gtc-translatablegoog-gtc-from-mt"/>
          <w:sz w:val="27"/>
          <w:szCs w:val="27"/>
          <w:lang w:val="fr-FR"/>
        </w:rPr>
        <w:t>méfaits</w:t>
      </w:r>
      <w:r w:rsidRPr="00DD66B0">
        <w:rPr>
          <w:rStyle w:val="goog-gtc-translatablegoog-gtc-from-mt"/>
          <w:sz w:val="27"/>
          <w:szCs w:val="27"/>
          <w:lang w:val="fr-FR"/>
        </w:rPr>
        <w:t>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Q. Une attention particulière doit être accordée à </w:t>
      </w:r>
      <w:r w:rsidR="001A50F8">
        <w:rPr>
          <w:rStyle w:val="goog-gtc-translatablegoog-gtc-from-mt"/>
          <w:sz w:val="27"/>
          <w:szCs w:val="27"/>
          <w:lang w:val="fr-FR"/>
        </w:rPr>
        <w:t>tout indice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de violence domestique ou d'autres formes de harcèlement dans une affaire.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rStyle w:val="goog-gtc-translatablegoog-gtc-from-mt"/>
          <w:sz w:val="27"/>
          <w:szCs w:val="27"/>
          <w:lang w:val="fr-FR"/>
        </w:rPr>
        <w:t xml:space="preserve">R. </w:t>
      </w:r>
      <w:r w:rsidR="001A50F8">
        <w:rPr>
          <w:rStyle w:val="goog-gtc-translatablegoog-gtc-from-mt"/>
          <w:sz w:val="27"/>
          <w:szCs w:val="27"/>
          <w:lang w:val="fr-FR"/>
        </w:rPr>
        <w:t>Les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agents </w:t>
      </w:r>
      <w:r w:rsidR="001A50F8">
        <w:rPr>
          <w:rStyle w:val="goog-gtc-translatablegoog-gtc-from-mt"/>
          <w:sz w:val="27"/>
          <w:szCs w:val="27"/>
          <w:lang w:val="fr-FR"/>
        </w:rPr>
        <w:t>doivent être guidés en ce qui concerne la diffusion d’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informations sensibles telles que le statut </w:t>
      </w:r>
      <w:r w:rsidR="001A50F8">
        <w:rPr>
          <w:rStyle w:val="goog-gtc-translatablegoog-gtc-from-mt"/>
          <w:sz w:val="27"/>
          <w:szCs w:val="27"/>
          <w:lang w:val="fr-FR"/>
        </w:rPr>
        <w:t>sérologique</w:t>
      </w:r>
      <w:r w:rsidRPr="00DD66B0">
        <w:rPr>
          <w:rStyle w:val="goog-gtc-translatablegoog-gtc-from-mt"/>
          <w:sz w:val="27"/>
          <w:szCs w:val="27"/>
          <w:lang w:val="fr-FR"/>
        </w:rPr>
        <w:t xml:space="preserve"> à d’autres</w:t>
      </w:r>
      <w:r w:rsidR="001A50F8">
        <w:rPr>
          <w:rStyle w:val="goog-gtc-translatablegoog-gtc-from-mt"/>
          <w:sz w:val="27"/>
          <w:szCs w:val="27"/>
          <w:lang w:val="fr-FR"/>
        </w:rPr>
        <w:t xml:space="preserve"> personnes</w:t>
      </w:r>
      <w:r w:rsidRPr="00DD66B0">
        <w:rPr>
          <w:rStyle w:val="goog-gtc-translatablegoog-gtc-from-mt"/>
          <w:sz w:val="27"/>
          <w:szCs w:val="27"/>
          <w:lang w:val="fr-FR"/>
        </w:rPr>
        <w:t>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1A50F8" w:rsidP="00DD66B0">
      <w:pPr>
        <w:pStyle w:val="NormalWeb"/>
        <w:spacing w:before="2" w:after="2"/>
        <w:rPr>
          <w:sz w:val="27"/>
          <w:szCs w:val="27"/>
          <w:lang w:val="fr-FR"/>
        </w:rPr>
      </w:pPr>
      <w:r>
        <w:rPr>
          <w:rStyle w:val="goog-gtc-translatablegoog-gtc-from-mt"/>
          <w:sz w:val="27"/>
          <w:szCs w:val="27"/>
          <w:lang w:val="fr-FR"/>
        </w:rPr>
        <w:t xml:space="preserve">S. </w:t>
      </w:r>
      <w:r w:rsidR="00DD66B0" w:rsidRPr="00DD66B0">
        <w:rPr>
          <w:rStyle w:val="goog-gtc-translatablegoog-gtc-from-mt"/>
          <w:sz w:val="27"/>
          <w:szCs w:val="27"/>
          <w:lang w:val="fr-FR"/>
        </w:rPr>
        <w:t xml:space="preserve">Les agents devraient être aidés à prendre des décisions avant la réponse </w:t>
      </w:r>
      <w:r>
        <w:rPr>
          <w:rStyle w:val="goog-gtc-translatablegoog-gtc-from-mt"/>
          <w:sz w:val="27"/>
          <w:szCs w:val="27"/>
          <w:lang w:val="fr-FR"/>
        </w:rPr>
        <w:t>du procureur de la couronne</w:t>
      </w:r>
      <w:r w:rsidR="00DD66B0" w:rsidRPr="00DD66B0">
        <w:rPr>
          <w:rStyle w:val="goog-gtc-translatablegoog-gtc-from-mt"/>
          <w:sz w:val="27"/>
          <w:szCs w:val="27"/>
          <w:lang w:val="fr-FR"/>
        </w:rPr>
        <w:t xml:space="preserve"> lors de la clôture du dossier, le cas échéant.</w:t>
      </w:r>
    </w:p>
    <w:p w:rsidR="00DD66B0" w:rsidRPr="00DD66B0" w:rsidRDefault="00DD66B0" w:rsidP="00DD66B0">
      <w:pPr>
        <w:pStyle w:val="NormalWeb"/>
        <w:spacing w:before="2" w:after="2"/>
        <w:rPr>
          <w:sz w:val="27"/>
          <w:szCs w:val="27"/>
          <w:lang w:val="fr-FR"/>
        </w:rPr>
      </w:pPr>
      <w:r w:rsidRPr="00DD66B0">
        <w:rPr>
          <w:sz w:val="27"/>
          <w:szCs w:val="27"/>
          <w:lang w:val="fr-FR"/>
        </w:rPr>
        <w:t> </w:t>
      </w:r>
    </w:p>
    <w:p w:rsidR="00DD66B0" w:rsidRPr="00DD66B0" w:rsidRDefault="00DD66B0" w:rsidP="00DD66B0"/>
    <w:sectPr w:rsidR="00DD66B0" w:rsidRPr="00DD66B0" w:rsidSect="00DD66B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66B0"/>
    <w:rsid w:val="000C7085"/>
    <w:rsid w:val="001A50F8"/>
    <w:rsid w:val="0021553D"/>
    <w:rsid w:val="002E04A4"/>
    <w:rsid w:val="003377BB"/>
    <w:rsid w:val="00474B5F"/>
    <w:rsid w:val="006A7CE0"/>
    <w:rsid w:val="006F443F"/>
    <w:rsid w:val="008A0E83"/>
    <w:rsid w:val="008C6DAA"/>
    <w:rsid w:val="00960BBC"/>
    <w:rsid w:val="009F5B4C"/>
    <w:rsid w:val="00A229BD"/>
    <w:rsid w:val="00BB4CD6"/>
    <w:rsid w:val="00DD66B0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C6"/>
    <w:rPr>
      <w:lang w:val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D66B0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goog-gtc-translatablegoog-gtc-from-mt">
    <w:name w:val="goog-gtc-translatable goog-gtc-from-mt"/>
    <w:basedOn w:val="DefaultParagraphFont"/>
    <w:rsid w:val="00DD6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774</Words>
  <Characters>4414</Characters>
  <Application>Microsoft Macintosh Word</Application>
  <DocSecurity>0</DocSecurity>
  <Lines>36</Lines>
  <Paragraphs>8</Paragraphs>
  <ScaleCrop>false</ScaleCrop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Beaumont</dc:creator>
  <cp:keywords/>
  <cp:lastModifiedBy>Sylvie Beaumont</cp:lastModifiedBy>
  <cp:revision>4</cp:revision>
  <dcterms:created xsi:type="dcterms:W3CDTF">2018-10-12T17:48:00Z</dcterms:created>
  <dcterms:modified xsi:type="dcterms:W3CDTF">2018-10-12T18:56:00Z</dcterms:modified>
</cp:coreProperties>
</file>