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6B0" w:rsidRPr="00DD66B0" w:rsidRDefault="00DD66B0" w:rsidP="00DD66B0">
      <w:pPr>
        <w:pStyle w:val="NormalWeb"/>
        <w:spacing w:before="2" w:after="2"/>
        <w:jc w:val="center"/>
        <w:rPr>
          <w:rFonts w:ascii="Arial" w:hAnsi="Arial"/>
          <w:b/>
          <w:sz w:val="52"/>
          <w:szCs w:val="27"/>
          <w:lang w:val="fr-FR"/>
        </w:rPr>
      </w:pPr>
      <w:r w:rsidRPr="00DD66B0">
        <w:rPr>
          <w:rStyle w:val="goog-gtc-translatablegoog-gtc-from-mt"/>
          <w:rFonts w:ascii="Arial" w:hAnsi="Arial"/>
          <w:b/>
          <w:sz w:val="52"/>
          <w:szCs w:val="27"/>
          <w:lang w:val="fr-FR"/>
        </w:rPr>
        <w:t xml:space="preserve">Surveillance </w:t>
      </w:r>
      <w:r w:rsidR="006F443F">
        <w:rPr>
          <w:rStyle w:val="goog-gtc-translatablegoog-gtc-from-mt"/>
          <w:rFonts w:ascii="Arial" w:hAnsi="Arial"/>
          <w:b/>
          <w:sz w:val="52"/>
          <w:szCs w:val="27"/>
          <w:lang w:val="fr-FR"/>
        </w:rPr>
        <w:t xml:space="preserve">policière </w:t>
      </w:r>
      <w:r w:rsidRPr="00DD66B0">
        <w:rPr>
          <w:rStyle w:val="goog-gtc-translatablegoog-gtc-from-mt"/>
          <w:rFonts w:ascii="Arial" w:hAnsi="Arial"/>
          <w:b/>
          <w:sz w:val="52"/>
          <w:szCs w:val="27"/>
          <w:lang w:val="fr-FR"/>
        </w:rPr>
        <w:t>de la transmission</w:t>
      </w:r>
    </w:p>
    <w:p w:rsidR="00DD66B0" w:rsidRPr="00DD66B0" w:rsidRDefault="00DD66B0" w:rsidP="00DD66B0">
      <w:pPr>
        <w:pStyle w:val="NormalWeb"/>
        <w:spacing w:before="2" w:after="2"/>
        <w:rPr>
          <w:rStyle w:val="goog-gtc-translatablegoog-gtc-from-mt"/>
        </w:rPr>
      </w:pPr>
    </w:p>
    <w:p w:rsidR="00DD66B0" w:rsidRPr="00DD66B0" w:rsidRDefault="00DD66B0" w:rsidP="00BB4CD6">
      <w:pPr>
        <w:pStyle w:val="NormalWeb"/>
        <w:spacing w:before="2" w:after="2"/>
        <w:jc w:val="center"/>
        <w:rPr>
          <w:rFonts w:ascii="Arial" w:hAnsi="Arial"/>
          <w:sz w:val="44"/>
          <w:szCs w:val="27"/>
          <w:lang w:val="fr-FR"/>
        </w:rPr>
      </w:pPr>
      <w:r w:rsidRPr="00DD66B0">
        <w:rPr>
          <w:rStyle w:val="goog-gtc-translatablegoog-gtc-from-mt"/>
          <w:rFonts w:ascii="Arial" w:hAnsi="Arial"/>
          <w:sz w:val="44"/>
          <w:szCs w:val="27"/>
          <w:lang w:val="fr-FR"/>
        </w:rPr>
        <w:t>Examen du traitement par la police des enquêtes pénales relatives à la transmission du VIH en Angleterre et au pays de Galles, 2005-2008</w:t>
      </w: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sz w:val="27"/>
          <w:szCs w:val="27"/>
          <w:lang w:val="fr-FR"/>
        </w:rPr>
        <w:t> </w:t>
      </w: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sz w:val="27"/>
          <w:szCs w:val="27"/>
          <w:lang w:val="fr-FR"/>
        </w:rPr>
        <w:t> </w:t>
      </w: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sz w:val="27"/>
          <w:szCs w:val="27"/>
          <w:lang w:val="fr-FR"/>
        </w:rPr>
        <w:t> </w:t>
      </w:r>
    </w:p>
    <w:p w:rsidR="00DD66B0" w:rsidRPr="00DD66B0" w:rsidRDefault="00DD66B0" w:rsidP="00DD66B0">
      <w:pPr>
        <w:pStyle w:val="NormalWeb"/>
        <w:spacing w:before="2" w:after="2"/>
        <w:rPr>
          <w:rFonts w:ascii="Arial" w:hAnsi="Arial"/>
          <w:sz w:val="32"/>
          <w:szCs w:val="27"/>
          <w:lang w:val="fr-FR"/>
        </w:rPr>
      </w:pPr>
      <w:r w:rsidRPr="00DD66B0">
        <w:rPr>
          <w:rStyle w:val="goog-gtc-translatablegoog-gtc-from-mt"/>
          <w:rFonts w:ascii="Arial" w:hAnsi="Arial"/>
          <w:sz w:val="32"/>
          <w:szCs w:val="27"/>
          <w:lang w:val="fr-FR"/>
        </w:rPr>
        <w:t>Résumé et recommandations</w:t>
      </w: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sz w:val="27"/>
          <w:szCs w:val="27"/>
          <w:lang w:val="fr-FR"/>
        </w:rPr>
        <w:t> </w:t>
      </w: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rStyle w:val="goog-gtc-translatablegoog-gtc-from-mt"/>
          <w:sz w:val="27"/>
          <w:szCs w:val="27"/>
          <w:lang w:val="fr-FR"/>
        </w:rPr>
        <w:t xml:space="preserve">1.1 L'examen de la pratique </w:t>
      </w:r>
      <w:r>
        <w:rPr>
          <w:rStyle w:val="goog-gtc-translatablegoog-gtc-from-mt"/>
          <w:sz w:val="27"/>
          <w:szCs w:val="27"/>
          <w:lang w:val="fr-FR"/>
        </w:rPr>
        <w:t xml:space="preserve">de la police concernant les 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allégations de transmission du VIH </w:t>
      </w:r>
      <w:r>
        <w:rPr>
          <w:rStyle w:val="goog-gtc-translatablegoog-gtc-from-mt"/>
          <w:sz w:val="27"/>
          <w:szCs w:val="27"/>
          <w:lang w:val="fr-FR"/>
        </w:rPr>
        <w:t>se base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 sur les conclusions diffusées de</w:t>
      </w:r>
      <w:r>
        <w:rPr>
          <w:rStyle w:val="goog-gtc-translatablegoog-gtc-from-mt"/>
          <w:sz w:val="27"/>
          <w:szCs w:val="27"/>
          <w:lang w:val="fr-FR"/>
        </w:rPr>
        <w:t>s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 </w:t>
      </w:r>
      <w:r w:rsidR="001A50F8">
        <w:rPr>
          <w:rStyle w:val="goog-gtc-translatablegoog-gtc-from-mt"/>
          <w:sz w:val="27"/>
          <w:szCs w:val="27"/>
          <w:lang w:val="fr-FR"/>
        </w:rPr>
        <w:t>dossiers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 "</w:t>
      </w:r>
      <w:r>
        <w:rPr>
          <w:rStyle w:val="goog-gtc-translatablegoog-gtc-from-mt"/>
          <w:sz w:val="27"/>
          <w:szCs w:val="27"/>
          <w:lang w:val="fr-FR"/>
        </w:rPr>
        <w:t xml:space="preserve">d’affaires </w:t>
      </w:r>
      <w:r w:rsidRPr="00DD66B0">
        <w:rPr>
          <w:rStyle w:val="goog-gtc-translatablegoog-gtc-from-mt"/>
          <w:sz w:val="27"/>
          <w:szCs w:val="27"/>
          <w:lang w:val="fr-FR"/>
        </w:rPr>
        <w:t>clos</w:t>
      </w:r>
      <w:r>
        <w:rPr>
          <w:rStyle w:val="goog-gtc-translatablegoog-gtc-from-mt"/>
          <w:sz w:val="27"/>
          <w:szCs w:val="27"/>
          <w:lang w:val="fr-FR"/>
        </w:rPr>
        <w:t>es</w:t>
      </w:r>
      <w:r w:rsidRPr="00DD66B0">
        <w:rPr>
          <w:rStyle w:val="goog-gtc-translatablegoog-gtc-from-mt"/>
          <w:sz w:val="27"/>
          <w:szCs w:val="27"/>
          <w:lang w:val="fr-FR"/>
        </w:rPr>
        <w:t>" reçus de</w:t>
      </w:r>
      <w:r>
        <w:rPr>
          <w:rStyle w:val="goog-gtc-translatablegoog-gtc-from-mt"/>
          <w:sz w:val="27"/>
          <w:szCs w:val="27"/>
          <w:lang w:val="fr-FR"/>
        </w:rPr>
        <w:t>s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 forces </w:t>
      </w:r>
      <w:r w:rsidR="008A0E83">
        <w:rPr>
          <w:rStyle w:val="goog-gtc-translatablegoog-gtc-from-mt"/>
          <w:sz w:val="27"/>
          <w:szCs w:val="27"/>
          <w:lang w:val="fr-FR"/>
        </w:rPr>
        <w:t xml:space="preserve">de l’ordre 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nationales </w:t>
      </w:r>
      <w:r w:rsidR="008A0E83">
        <w:rPr>
          <w:rStyle w:val="goog-gtc-translatablegoog-gtc-from-mt"/>
          <w:sz w:val="27"/>
          <w:szCs w:val="27"/>
          <w:lang w:val="fr-FR"/>
        </w:rPr>
        <w:t xml:space="preserve">en </w:t>
      </w:r>
      <w:r w:rsidRPr="00DD66B0">
        <w:rPr>
          <w:rStyle w:val="goog-gtc-translatablegoog-gtc-from-mt"/>
          <w:sz w:val="27"/>
          <w:szCs w:val="27"/>
          <w:lang w:val="fr-FR"/>
        </w:rPr>
        <w:t>Angleterre.</w:t>
      </w:r>
      <w:r w:rsidRPr="00DD66B0">
        <w:rPr>
          <w:sz w:val="27"/>
          <w:szCs w:val="27"/>
          <w:lang w:val="fr-FR"/>
        </w:rPr>
        <w:t> 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Cette première phase de travail a été entreprise par un agent de l’ACPO (Association des chefs de police) et </w:t>
      </w:r>
      <w:r w:rsidR="008A0E83">
        <w:rPr>
          <w:rStyle w:val="goog-gtc-translatablegoog-gtc-from-mt"/>
          <w:sz w:val="27"/>
          <w:szCs w:val="27"/>
          <w:lang w:val="fr-FR"/>
        </w:rPr>
        <w:t>a été soutenue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 sur le plan administratif par </w:t>
      </w:r>
      <w:r w:rsidR="008A0E83">
        <w:rPr>
          <w:rStyle w:val="goog-gtc-translatablegoog-gtc-from-mt"/>
          <w:sz w:val="27"/>
          <w:szCs w:val="27"/>
          <w:lang w:val="fr-FR"/>
        </w:rPr>
        <w:t>le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 personnel de police du </w:t>
      </w:r>
      <w:r w:rsidR="008A0E83">
        <w:rPr>
          <w:rStyle w:val="goog-gtc-translatablegoog-gtc-from-mt"/>
          <w:sz w:val="27"/>
          <w:szCs w:val="27"/>
          <w:lang w:val="fr-FR"/>
        </w:rPr>
        <w:t>SPM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 (Service de police métropolitain).</w:t>
      </w: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sz w:val="27"/>
          <w:szCs w:val="27"/>
          <w:lang w:val="fr-FR"/>
        </w:rPr>
        <w:t> </w:t>
      </w: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rStyle w:val="goog-gtc-translatablegoog-gtc-from-mt"/>
          <w:sz w:val="27"/>
          <w:szCs w:val="27"/>
          <w:lang w:val="fr-FR"/>
        </w:rPr>
        <w:t xml:space="preserve">1.2 Ces </w:t>
      </w:r>
      <w:r w:rsidR="001A50F8">
        <w:rPr>
          <w:rStyle w:val="goog-gtc-translatablegoog-gtc-from-mt"/>
          <w:sz w:val="27"/>
          <w:szCs w:val="27"/>
          <w:lang w:val="fr-FR"/>
        </w:rPr>
        <w:t>dossiers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 ont été analysés par l'agent et les rapports qui en ont résulté ont servi de base à </w:t>
      </w:r>
      <w:r w:rsidR="001A50F8">
        <w:rPr>
          <w:rStyle w:val="goog-gtc-translatablegoog-gtc-from-mt"/>
          <w:sz w:val="27"/>
          <w:szCs w:val="27"/>
          <w:lang w:val="fr-FR"/>
        </w:rPr>
        <w:t>l’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examen </w:t>
      </w:r>
      <w:r w:rsidR="008A0E83">
        <w:rPr>
          <w:rStyle w:val="goog-gtc-translatablegoog-gtc-from-mt"/>
          <w:sz w:val="27"/>
          <w:szCs w:val="27"/>
          <w:lang w:val="fr-FR"/>
        </w:rPr>
        <w:t xml:space="preserve">effectué 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par un groupe consultatif communautaire composé </w:t>
      </w:r>
      <w:r w:rsidR="008A0E83">
        <w:rPr>
          <w:rStyle w:val="goog-gtc-translatablegoog-gtc-from-mt"/>
          <w:sz w:val="27"/>
          <w:szCs w:val="27"/>
          <w:lang w:val="fr-FR"/>
        </w:rPr>
        <w:t>d’intervenants clés, qui se sont appuyés sur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 leurs expériences en matière d'enquêtes et des communautés touchées.</w:t>
      </w:r>
      <w:r w:rsidRPr="00DD66B0">
        <w:rPr>
          <w:sz w:val="27"/>
          <w:szCs w:val="27"/>
          <w:lang w:val="fr-FR"/>
        </w:rPr>
        <w:t> 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Ce </w:t>
      </w:r>
      <w:r w:rsidR="008A0E83">
        <w:rPr>
          <w:rStyle w:val="goog-gtc-translatablegoog-gtc-from-mt"/>
          <w:sz w:val="27"/>
          <w:szCs w:val="27"/>
          <w:lang w:val="fr-FR"/>
        </w:rPr>
        <w:t>groupe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 a élaboré les recommandations et supervisé la rédaction du rapport conformément aux conclusions.</w:t>
      </w:r>
      <w:r w:rsidRPr="00DD66B0">
        <w:rPr>
          <w:sz w:val="27"/>
          <w:szCs w:val="27"/>
          <w:lang w:val="fr-FR"/>
        </w:rPr>
        <w:t> 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Le rapport qui en résulte comprend un certain nombre de recommandations </w:t>
      </w:r>
      <w:r w:rsidR="009F5B4C">
        <w:rPr>
          <w:rStyle w:val="goog-gtc-translatablegoog-gtc-from-mt"/>
          <w:sz w:val="27"/>
          <w:szCs w:val="27"/>
          <w:lang w:val="fr-FR"/>
        </w:rPr>
        <w:t>importantes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 pour l’ACPO.</w:t>
      </w: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sz w:val="27"/>
          <w:szCs w:val="27"/>
          <w:lang w:val="fr-FR"/>
        </w:rPr>
        <w:t> </w:t>
      </w: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rStyle w:val="goog-gtc-translatablegoog-gtc-from-mt"/>
          <w:sz w:val="27"/>
          <w:szCs w:val="27"/>
          <w:lang w:val="fr-FR"/>
        </w:rPr>
        <w:t>1.3 L'examen a révélé que le VIH et l</w:t>
      </w:r>
      <w:r w:rsidR="009F5B4C">
        <w:rPr>
          <w:rStyle w:val="goog-gtc-translatablegoog-gtc-from-mt"/>
          <w:sz w:val="27"/>
          <w:szCs w:val="27"/>
          <w:lang w:val="fr-FR"/>
        </w:rPr>
        <w:t>’application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 du droit pénal </w:t>
      </w:r>
      <w:r w:rsidR="009F5B4C">
        <w:rPr>
          <w:rStyle w:val="goog-gtc-translatablegoog-gtc-from-mt"/>
          <w:sz w:val="27"/>
          <w:szCs w:val="27"/>
          <w:lang w:val="fr-FR"/>
        </w:rPr>
        <w:t>au sujet de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 sa transmission étaient souvent</w:t>
      </w:r>
      <w:r w:rsidR="009F5B4C">
        <w:rPr>
          <w:rStyle w:val="goog-gtc-translatablegoog-gtc-from-mt"/>
          <w:sz w:val="27"/>
          <w:szCs w:val="27"/>
          <w:lang w:val="fr-FR"/>
        </w:rPr>
        <w:t xml:space="preserve">, 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 </w:t>
      </w:r>
      <w:r w:rsidR="009F5B4C" w:rsidRPr="00DD66B0">
        <w:rPr>
          <w:rStyle w:val="goog-gtc-translatablegoog-gtc-from-mt"/>
          <w:sz w:val="27"/>
          <w:szCs w:val="27"/>
          <w:lang w:val="fr-FR"/>
        </w:rPr>
        <w:t>en tant que condition récemment identifiée</w:t>
      </w:r>
      <w:r w:rsidR="009F5B4C">
        <w:rPr>
          <w:rStyle w:val="goog-gtc-translatablegoog-gtc-from-mt"/>
          <w:sz w:val="27"/>
          <w:szCs w:val="27"/>
          <w:lang w:val="fr-FR"/>
        </w:rPr>
        <w:t xml:space="preserve"> et comme application de la loi encore plus récente,  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mal </w:t>
      </w:r>
      <w:r w:rsidR="009F5B4C">
        <w:rPr>
          <w:rStyle w:val="goog-gtc-translatablegoog-gtc-from-mt"/>
          <w:sz w:val="27"/>
          <w:szCs w:val="27"/>
          <w:lang w:val="fr-FR"/>
        </w:rPr>
        <w:t>comprises</w:t>
      </w:r>
      <w:r w:rsidRPr="00DD66B0">
        <w:rPr>
          <w:rStyle w:val="goog-gtc-translatablegoog-gtc-from-mt"/>
          <w:sz w:val="27"/>
          <w:szCs w:val="27"/>
          <w:lang w:val="fr-FR"/>
        </w:rPr>
        <w:t>.</w:t>
      </w:r>
      <w:r w:rsidRPr="00DD66B0">
        <w:rPr>
          <w:sz w:val="27"/>
          <w:szCs w:val="27"/>
          <w:lang w:val="fr-FR"/>
        </w:rPr>
        <w:t> 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Cela a conduit à des disparités dans l'application de la loi et à </w:t>
      </w:r>
      <w:r w:rsidR="009F5B4C">
        <w:rPr>
          <w:rStyle w:val="goog-gtc-translatablegoog-gtc-from-mt"/>
          <w:sz w:val="27"/>
          <w:szCs w:val="27"/>
          <w:lang w:val="fr-FR"/>
        </w:rPr>
        <w:t>une absence de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 pratique commune dans la </w:t>
      </w:r>
      <w:r w:rsidR="0021553D">
        <w:rPr>
          <w:rStyle w:val="goog-gtc-translatablegoog-gtc-from-mt"/>
          <w:sz w:val="27"/>
          <w:szCs w:val="27"/>
          <w:lang w:val="fr-FR"/>
        </w:rPr>
        <w:t>façon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 dont les allégations </w:t>
      </w:r>
      <w:r w:rsidR="0021553D">
        <w:rPr>
          <w:rStyle w:val="goog-gtc-translatablegoog-gtc-from-mt"/>
          <w:sz w:val="27"/>
          <w:szCs w:val="27"/>
          <w:lang w:val="fr-FR"/>
        </w:rPr>
        <w:t>sont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 examinées.</w:t>
      </w: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sz w:val="27"/>
          <w:szCs w:val="27"/>
          <w:lang w:val="fr-FR"/>
        </w:rPr>
        <w:t> </w:t>
      </w: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rStyle w:val="goog-gtc-translatablegoog-gtc-from-mt"/>
          <w:sz w:val="27"/>
          <w:szCs w:val="27"/>
          <w:lang w:val="fr-FR"/>
        </w:rPr>
        <w:t xml:space="preserve">1.4 Toutefois, l’examen a également révélé un certain nombre d’exemples de bonnes pratiques et </w:t>
      </w:r>
      <w:r w:rsidR="0021553D">
        <w:rPr>
          <w:rStyle w:val="goog-gtc-translatablegoog-gtc-from-mt"/>
          <w:sz w:val="27"/>
          <w:szCs w:val="27"/>
          <w:lang w:val="fr-FR"/>
        </w:rPr>
        <w:t>d’améliorations possibles</w:t>
      </w:r>
      <w:r w:rsidRPr="00DD66B0">
        <w:rPr>
          <w:rStyle w:val="goog-gtc-translatablegoog-gtc-from-mt"/>
          <w:sz w:val="27"/>
          <w:szCs w:val="27"/>
          <w:lang w:val="fr-FR"/>
        </w:rPr>
        <w:t>.</w:t>
      </w:r>
      <w:r w:rsidRPr="00DD66B0">
        <w:rPr>
          <w:sz w:val="27"/>
          <w:szCs w:val="27"/>
          <w:lang w:val="fr-FR"/>
        </w:rPr>
        <w:t> 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Celles-ci sont </w:t>
      </w:r>
      <w:r w:rsidR="0021553D">
        <w:rPr>
          <w:rStyle w:val="goog-gtc-translatablegoog-gtc-from-mt"/>
          <w:sz w:val="27"/>
          <w:szCs w:val="27"/>
          <w:lang w:val="fr-FR"/>
        </w:rPr>
        <w:t>décrites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 dans les recommandations ci-dessous:</w:t>
      </w: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sz w:val="27"/>
          <w:szCs w:val="27"/>
          <w:lang w:val="fr-FR"/>
        </w:rPr>
        <w:t> </w:t>
      </w:r>
    </w:p>
    <w:p w:rsidR="0021553D" w:rsidRDefault="0021553D" w:rsidP="00DD66B0">
      <w:pPr>
        <w:pStyle w:val="NormalWeb"/>
        <w:spacing w:before="2" w:after="2"/>
        <w:rPr>
          <w:rStyle w:val="goog-gtc-translatablegoog-gtc-from-mt"/>
        </w:rPr>
      </w:pPr>
    </w:p>
    <w:p w:rsidR="0021553D" w:rsidRDefault="0021553D" w:rsidP="00DD66B0">
      <w:pPr>
        <w:pStyle w:val="NormalWeb"/>
        <w:spacing w:before="2" w:after="2"/>
        <w:rPr>
          <w:rStyle w:val="goog-gtc-translatablegoog-gtc-from-mt"/>
        </w:rPr>
      </w:pPr>
    </w:p>
    <w:p w:rsidR="0021553D" w:rsidRDefault="00DD66B0" w:rsidP="00DD66B0">
      <w:pPr>
        <w:pStyle w:val="NormalWeb"/>
        <w:spacing w:before="2" w:after="2"/>
        <w:rPr>
          <w:rStyle w:val="goog-gtc-translatablegoog-gtc-from-mt"/>
        </w:rPr>
      </w:pPr>
      <w:r w:rsidRPr="0021553D">
        <w:rPr>
          <w:rStyle w:val="goog-gtc-translatablegoog-gtc-from-mt"/>
          <w:b/>
          <w:sz w:val="27"/>
          <w:szCs w:val="27"/>
          <w:lang w:val="fr-FR"/>
        </w:rPr>
        <w:t>Formation et soutien aux officiers</w:t>
      </w:r>
    </w:p>
    <w:p w:rsidR="00DD66B0" w:rsidRPr="0021553D" w:rsidRDefault="00DD66B0" w:rsidP="00DD66B0">
      <w:pPr>
        <w:pStyle w:val="NormalWeb"/>
        <w:spacing w:before="2" w:after="2"/>
        <w:rPr>
          <w:b/>
          <w:sz w:val="27"/>
          <w:szCs w:val="27"/>
          <w:lang w:val="fr-FR"/>
        </w:rPr>
      </w:pP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rStyle w:val="goog-gtc-translatablegoog-gtc-from-mt"/>
          <w:sz w:val="27"/>
          <w:szCs w:val="27"/>
          <w:lang w:val="fr-FR"/>
        </w:rPr>
        <w:t xml:space="preserve">A. Une formation devrait être dispensée </w:t>
      </w:r>
      <w:r w:rsidR="0021553D">
        <w:rPr>
          <w:rStyle w:val="goog-gtc-translatablegoog-gtc-from-mt"/>
          <w:sz w:val="27"/>
          <w:szCs w:val="27"/>
          <w:lang w:val="fr-FR"/>
        </w:rPr>
        <w:t>à des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 officiers désignés dans chaque force </w:t>
      </w:r>
      <w:r w:rsidR="0021553D">
        <w:rPr>
          <w:rStyle w:val="goog-gtc-translatablegoog-gtc-from-mt"/>
          <w:sz w:val="27"/>
          <w:szCs w:val="27"/>
          <w:lang w:val="fr-FR"/>
        </w:rPr>
        <w:t>pour aider à gérer ces affaires</w:t>
      </w:r>
      <w:r w:rsidRPr="00DD66B0">
        <w:rPr>
          <w:rStyle w:val="goog-gtc-translatablegoog-gtc-from-mt"/>
          <w:sz w:val="27"/>
          <w:szCs w:val="27"/>
          <w:lang w:val="fr-FR"/>
        </w:rPr>
        <w:t>.</w:t>
      </w: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sz w:val="27"/>
          <w:szCs w:val="27"/>
          <w:lang w:val="fr-FR"/>
        </w:rPr>
        <w:t> </w:t>
      </w:r>
    </w:p>
    <w:p w:rsidR="00DD66B0" w:rsidRPr="003377BB" w:rsidRDefault="00DD66B0" w:rsidP="003377BB">
      <w:pPr>
        <w:rPr>
          <w:rFonts w:ascii="Times" w:hAnsi="Times"/>
          <w:sz w:val="20"/>
          <w:szCs w:val="20"/>
          <w:lang w:val="en-GB"/>
        </w:rPr>
      </w:pPr>
      <w:r w:rsidRPr="00DD66B0">
        <w:rPr>
          <w:rStyle w:val="goog-gtc-translatablegoog-gtc-from-mt"/>
          <w:sz w:val="27"/>
          <w:szCs w:val="27"/>
        </w:rPr>
        <w:t xml:space="preserve">B. Toutes les allégations de </w:t>
      </w:r>
      <w:r w:rsidR="0021553D">
        <w:rPr>
          <w:rStyle w:val="goog-gtc-translatablegoog-gtc-from-mt"/>
          <w:sz w:val="27"/>
          <w:szCs w:val="27"/>
        </w:rPr>
        <w:t>dommages corporels graves</w:t>
      </w:r>
      <w:r w:rsidRPr="00DD66B0">
        <w:rPr>
          <w:rStyle w:val="goog-gtc-translatablegoog-gtc-from-mt"/>
          <w:sz w:val="27"/>
          <w:szCs w:val="27"/>
        </w:rPr>
        <w:t xml:space="preserve"> impliquant une transmission sexuelle doivent être examinées par des agents </w:t>
      </w:r>
      <w:r w:rsidR="003377BB">
        <w:rPr>
          <w:rStyle w:val="goog-gtc-translatablegoog-gtc-from-mt"/>
          <w:sz w:val="27"/>
          <w:szCs w:val="27"/>
        </w:rPr>
        <w:t xml:space="preserve">spécialement </w:t>
      </w:r>
      <w:r w:rsidR="003377BB" w:rsidRPr="003377BB">
        <w:rPr>
          <w:rStyle w:val="goog-gtc-translatablegoog-gtc-from-mt"/>
          <w:sz w:val="27"/>
          <w:szCs w:val="27"/>
        </w:rPr>
        <w:t>formés en matière de violences sexuelles</w:t>
      </w:r>
      <w:r w:rsidRPr="00DD66B0">
        <w:rPr>
          <w:rStyle w:val="goog-gtc-translatablegoog-gtc-from-mt"/>
          <w:sz w:val="27"/>
          <w:szCs w:val="27"/>
        </w:rPr>
        <w:t>, dans la mesure du possible.</w:t>
      </w: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sz w:val="27"/>
          <w:szCs w:val="27"/>
          <w:lang w:val="fr-FR"/>
        </w:rPr>
        <w:t> </w:t>
      </w: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rStyle w:val="goog-gtc-translatablegoog-gtc-from-mt"/>
          <w:sz w:val="27"/>
          <w:szCs w:val="27"/>
          <w:lang w:val="fr-FR"/>
        </w:rPr>
        <w:t xml:space="preserve">C. L’ACPO devrait examiner la possibilité d’établir un registre national des </w:t>
      </w:r>
      <w:r w:rsidR="003377BB">
        <w:rPr>
          <w:rStyle w:val="goog-gtc-translatablegoog-gtc-from-mt"/>
          <w:sz w:val="27"/>
          <w:szCs w:val="27"/>
          <w:lang w:val="fr-FR"/>
        </w:rPr>
        <w:t>d’agent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s formés et expérimentés à la gestion de </w:t>
      </w:r>
      <w:r w:rsidR="003377BB">
        <w:rPr>
          <w:rStyle w:val="goog-gtc-translatablegoog-gtc-from-mt"/>
          <w:sz w:val="27"/>
          <w:szCs w:val="27"/>
          <w:lang w:val="fr-FR"/>
        </w:rPr>
        <w:t>ce type d’affaires</w:t>
      </w:r>
      <w:r w:rsidRPr="00DD66B0">
        <w:rPr>
          <w:rStyle w:val="goog-gtc-translatablegoog-gtc-from-mt"/>
          <w:sz w:val="27"/>
          <w:szCs w:val="27"/>
          <w:lang w:val="fr-FR"/>
        </w:rPr>
        <w:t>.</w:t>
      </w: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sz w:val="27"/>
          <w:szCs w:val="27"/>
          <w:lang w:val="fr-FR"/>
        </w:rPr>
        <w:t> </w:t>
      </w:r>
    </w:p>
    <w:p w:rsidR="00DD66B0" w:rsidRPr="00DD66B0" w:rsidRDefault="003377BB" w:rsidP="00DD66B0">
      <w:pPr>
        <w:pStyle w:val="NormalWeb"/>
        <w:spacing w:before="2" w:after="2"/>
        <w:rPr>
          <w:sz w:val="27"/>
          <w:szCs w:val="27"/>
          <w:lang w:val="fr-FR"/>
        </w:rPr>
      </w:pPr>
      <w:r>
        <w:rPr>
          <w:rStyle w:val="goog-gtc-translatablegoog-gtc-from-mt"/>
          <w:sz w:val="27"/>
          <w:szCs w:val="27"/>
          <w:lang w:val="fr-FR"/>
        </w:rPr>
        <w:t>D. Le statut « d’</w:t>
      </w:r>
      <w:r w:rsidR="00DD66B0" w:rsidRPr="00DD66B0">
        <w:rPr>
          <w:rStyle w:val="goog-gtc-translatablegoog-gtc-from-mt"/>
          <w:sz w:val="27"/>
          <w:szCs w:val="27"/>
          <w:lang w:val="fr-FR"/>
        </w:rPr>
        <w:t xml:space="preserve">Incident critique» pourrait aider à accéder aux ressources nécessaires à la gestion de </w:t>
      </w:r>
      <w:r w:rsidR="006A7CE0">
        <w:rPr>
          <w:rStyle w:val="goog-gtc-translatablegoog-gtc-from-mt"/>
          <w:sz w:val="27"/>
          <w:szCs w:val="27"/>
          <w:lang w:val="fr-FR"/>
        </w:rPr>
        <w:t>ce type d’affaire</w:t>
      </w:r>
      <w:r w:rsidR="00DD66B0" w:rsidRPr="00DD66B0">
        <w:rPr>
          <w:rStyle w:val="goog-gtc-translatablegoog-gtc-from-mt"/>
          <w:sz w:val="27"/>
          <w:szCs w:val="27"/>
          <w:lang w:val="fr-FR"/>
        </w:rPr>
        <w:t xml:space="preserve"> et il conviendrait d’envisager d’utiliser cette désignation.</w:t>
      </w: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sz w:val="27"/>
          <w:szCs w:val="27"/>
          <w:lang w:val="fr-FR"/>
        </w:rPr>
        <w:t> </w:t>
      </w: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rStyle w:val="goog-gtc-translatablegoog-gtc-from-mt"/>
          <w:sz w:val="27"/>
          <w:szCs w:val="27"/>
          <w:lang w:val="fr-FR"/>
        </w:rPr>
        <w:t xml:space="preserve">E. Les enquêteurs doivent avoir accès à des guides faciles à comprendre sur la loi dans ce domaine et aux directives </w:t>
      </w:r>
      <w:r w:rsidR="006A7CE0">
        <w:rPr>
          <w:rStyle w:val="goog-gtc-translatablegoog-gtc-from-mt"/>
          <w:sz w:val="27"/>
          <w:szCs w:val="27"/>
          <w:lang w:val="fr-FR"/>
        </w:rPr>
        <w:t>pertinentes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 </w:t>
      </w:r>
      <w:r w:rsidR="006A7CE0">
        <w:rPr>
          <w:rStyle w:val="goog-gtc-translatablegoog-gtc-from-mt"/>
          <w:sz w:val="27"/>
          <w:szCs w:val="27"/>
          <w:lang w:val="fr-FR"/>
        </w:rPr>
        <w:t>du procureur de la couronne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, qui </w:t>
      </w:r>
      <w:r w:rsidR="006A7CE0">
        <w:rPr>
          <w:rStyle w:val="goog-gtc-translatablegoog-gtc-from-mt"/>
          <w:sz w:val="27"/>
          <w:szCs w:val="27"/>
          <w:lang w:val="fr-FR"/>
        </w:rPr>
        <w:t>pourraient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 être fournis sur papier ou </w:t>
      </w:r>
      <w:r w:rsidR="006A7CE0">
        <w:rPr>
          <w:rStyle w:val="goog-gtc-translatablegoog-gtc-from-mt"/>
          <w:sz w:val="27"/>
          <w:szCs w:val="27"/>
          <w:lang w:val="fr-FR"/>
        </w:rPr>
        <w:t>disponible sur l’</w:t>
      </w:r>
      <w:r w:rsidRPr="00DD66B0">
        <w:rPr>
          <w:rStyle w:val="goog-gtc-translatablegoog-gtc-from-mt"/>
          <w:sz w:val="27"/>
          <w:szCs w:val="27"/>
          <w:lang w:val="fr-FR"/>
        </w:rPr>
        <w:t>Internet.</w:t>
      </w: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sz w:val="27"/>
          <w:szCs w:val="27"/>
          <w:lang w:val="fr-FR"/>
        </w:rPr>
        <w:t> </w:t>
      </w: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rStyle w:val="goog-gtc-translatablegoog-gtc-from-mt"/>
          <w:sz w:val="27"/>
          <w:szCs w:val="27"/>
          <w:lang w:val="fr-FR"/>
        </w:rPr>
        <w:t xml:space="preserve">F. Ces </w:t>
      </w:r>
      <w:r w:rsidR="006A7CE0">
        <w:rPr>
          <w:rStyle w:val="goog-gtc-translatablegoog-gtc-from-mt"/>
          <w:sz w:val="27"/>
          <w:szCs w:val="27"/>
          <w:lang w:val="fr-FR"/>
        </w:rPr>
        <w:t>documents de référence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 devraient également inclure des informations précises et actualisées sur le VIH et les IST, y compris </w:t>
      </w:r>
      <w:r w:rsidR="006A7CE0">
        <w:rPr>
          <w:rStyle w:val="goog-gtc-translatablegoog-gtc-from-mt"/>
          <w:sz w:val="27"/>
          <w:szCs w:val="27"/>
          <w:lang w:val="fr-FR"/>
        </w:rPr>
        <w:t xml:space="preserve">sur 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les risques réels de transmission </w:t>
      </w:r>
      <w:r w:rsidR="008C6DAA">
        <w:rPr>
          <w:rStyle w:val="goog-gtc-translatablegoog-gtc-from-mt"/>
          <w:sz w:val="27"/>
          <w:szCs w:val="27"/>
          <w:lang w:val="fr-FR"/>
        </w:rPr>
        <w:t>en fonction des activités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 et contextes, ainsi que les implications d'un diagnostic positif sur la santé future d'une personne.</w:t>
      </w: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sz w:val="27"/>
          <w:szCs w:val="27"/>
          <w:lang w:val="fr-FR"/>
        </w:rPr>
        <w:t> </w:t>
      </w: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rStyle w:val="goog-gtc-translatablegoog-gtc-from-mt"/>
          <w:sz w:val="27"/>
          <w:szCs w:val="27"/>
          <w:lang w:val="fr-FR"/>
        </w:rPr>
        <w:t xml:space="preserve">G. Il serait également utile que ces directives </w:t>
      </w:r>
      <w:r w:rsidR="008C6DAA">
        <w:rPr>
          <w:rStyle w:val="goog-gtc-translatablegoog-gtc-from-mt"/>
          <w:sz w:val="27"/>
          <w:szCs w:val="27"/>
          <w:lang w:val="fr-FR"/>
        </w:rPr>
        <w:t>comprennent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 une liste d'agences externes </w:t>
      </w:r>
      <w:r w:rsidR="008C6DAA">
        <w:rPr>
          <w:rStyle w:val="goog-gtc-translatablegoog-gtc-from-mt"/>
          <w:sz w:val="27"/>
          <w:szCs w:val="27"/>
          <w:lang w:val="fr-FR"/>
        </w:rPr>
        <w:t>spécialisées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 auprès desquelles les agents pourraient demander des conseils sur des circonstances spécifiques.</w:t>
      </w: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sz w:val="27"/>
          <w:szCs w:val="27"/>
          <w:lang w:val="fr-FR"/>
        </w:rPr>
        <w:t> </w:t>
      </w: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rStyle w:val="goog-gtc-translatablegoog-gtc-from-mt"/>
          <w:sz w:val="27"/>
          <w:szCs w:val="27"/>
          <w:lang w:val="fr-FR"/>
        </w:rPr>
        <w:t xml:space="preserve">H. Une liste de contrôle des actions consécutives devrait être </w:t>
      </w:r>
      <w:r w:rsidR="008C6DAA">
        <w:rPr>
          <w:rStyle w:val="goog-gtc-translatablegoog-gtc-from-mt"/>
          <w:sz w:val="27"/>
          <w:szCs w:val="27"/>
          <w:lang w:val="fr-FR"/>
        </w:rPr>
        <w:t>établi</w:t>
      </w:r>
      <w:r w:rsidRPr="00DD66B0">
        <w:rPr>
          <w:rStyle w:val="goog-gtc-translatablegoog-gtc-from-mt"/>
          <w:sz w:val="27"/>
          <w:szCs w:val="27"/>
          <w:lang w:val="fr-FR"/>
        </w:rPr>
        <w:t>e</w:t>
      </w:r>
      <w:r w:rsidR="008C6DAA">
        <w:rPr>
          <w:rStyle w:val="goog-gtc-translatablegoog-gtc-from-mt"/>
          <w:sz w:val="27"/>
          <w:szCs w:val="27"/>
          <w:lang w:val="fr-FR"/>
        </w:rPr>
        <w:t xml:space="preserve"> pour aider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 les agents à comprendre ce qui doit être prouvé ou pris en compte à chaque étape de l'enquête afin de procéder de manière appropriée.</w:t>
      </w:r>
      <w:r w:rsidRPr="00DD66B0">
        <w:rPr>
          <w:sz w:val="27"/>
          <w:szCs w:val="27"/>
          <w:lang w:val="fr-FR"/>
        </w:rPr>
        <w:t> </w:t>
      </w:r>
      <w:r w:rsidRPr="00DD66B0">
        <w:rPr>
          <w:rStyle w:val="goog-gtc-translatablegoog-gtc-from-mt"/>
          <w:sz w:val="27"/>
          <w:szCs w:val="27"/>
          <w:lang w:val="fr-FR"/>
        </w:rPr>
        <w:t>Cela devrait inclure les recommandations 9-15.</w:t>
      </w: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sz w:val="27"/>
          <w:szCs w:val="27"/>
          <w:lang w:val="fr-FR"/>
        </w:rPr>
        <w:t> </w:t>
      </w: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rStyle w:val="goog-gtc-translatablegoog-gtc-from-mt"/>
          <w:sz w:val="27"/>
          <w:szCs w:val="27"/>
          <w:lang w:val="fr-FR"/>
        </w:rPr>
        <w:t xml:space="preserve">I. Une série de questions standard devrait être élaborée, éventuellement dans le cadre de la liste de contrôle, afin de déterminer rapidement </w:t>
      </w:r>
      <w:r w:rsidR="008C6DAA">
        <w:rPr>
          <w:rStyle w:val="goog-gtc-translatablegoog-gtc-from-mt"/>
          <w:sz w:val="27"/>
          <w:szCs w:val="27"/>
          <w:lang w:val="fr-FR"/>
        </w:rPr>
        <w:t>s’il s’agit d’une affaire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 viable et de prendre les mesures qui s'imposent.</w:t>
      </w: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sz w:val="27"/>
          <w:szCs w:val="27"/>
          <w:lang w:val="fr-FR"/>
        </w:rPr>
        <w:t> </w:t>
      </w: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rStyle w:val="goog-gtc-translatablegoog-gtc-from-mt"/>
          <w:sz w:val="27"/>
          <w:szCs w:val="27"/>
          <w:lang w:val="fr-FR"/>
        </w:rPr>
        <w:t xml:space="preserve">J. </w:t>
      </w:r>
      <w:r w:rsidR="000C7085">
        <w:rPr>
          <w:rStyle w:val="goog-gtc-translatablegoog-gtc-from-mt"/>
          <w:sz w:val="27"/>
          <w:szCs w:val="27"/>
          <w:lang w:val="fr-FR"/>
        </w:rPr>
        <w:t>Dans l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es cas </w:t>
      </w:r>
      <w:r w:rsidR="000C7085">
        <w:rPr>
          <w:rStyle w:val="goog-gtc-translatablegoog-gtc-from-mt"/>
          <w:sz w:val="27"/>
          <w:szCs w:val="27"/>
          <w:lang w:val="fr-FR"/>
        </w:rPr>
        <w:t>où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 </w:t>
      </w:r>
      <w:r w:rsidR="000C7085">
        <w:rPr>
          <w:rStyle w:val="goog-gtc-translatablegoog-gtc-from-mt"/>
          <w:sz w:val="27"/>
          <w:szCs w:val="27"/>
          <w:lang w:val="fr-FR"/>
        </w:rPr>
        <w:t>le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 plaignant affirme que l'acte sexuel n'a eu lieu avec l'accusé </w:t>
      </w:r>
      <w:r w:rsidR="008C6DAA">
        <w:rPr>
          <w:rStyle w:val="goog-gtc-translatablegoog-gtc-from-mt"/>
          <w:sz w:val="27"/>
          <w:szCs w:val="27"/>
          <w:lang w:val="fr-FR"/>
        </w:rPr>
        <w:t>qu’</w:t>
      </w:r>
      <w:r w:rsidR="000C7085">
        <w:rPr>
          <w:rStyle w:val="goog-gtc-translatablegoog-gtc-from-mt"/>
          <w:sz w:val="27"/>
          <w:szCs w:val="27"/>
          <w:lang w:val="fr-FR"/>
        </w:rPr>
        <w:t>au cours des derniers jours, il serait utile de faire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 </w:t>
      </w:r>
      <w:proofErr w:type="spellStart"/>
      <w:r w:rsidR="000C7085">
        <w:rPr>
          <w:rStyle w:val="goog-gtc-translatablegoog-gtc-from-mt"/>
          <w:sz w:val="27"/>
          <w:szCs w:val="27"/>
          <w:lang w:val="fr-FR"/>
        </w:rPr>
        <w:t>faire</w:t>
      </w:r>
      <w:proofErr w:type="spellEnd"/>
      <w:r w:rsidR="000C7085">
        <w:rPr>
          <w:rStyle w:val="goog-gtc-translatablegoog-gtc-from-mt"/>
          <w:sz w:val="27"/>
          <w:szCs w:val="27"/>
          <w:lang w:val="fr-FR"/>
        </w:rPr>
        <w:t xml:space="preserve"> 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un test de dépistage du VIH </w:t>
      </w:r>
      <w:r w:rsidR="000C7085">
        <w:rPr>
          <w:rStyle w:val="goog-gtc-translatablegoog-gtc-from-mt"/>
          <w:sz w:val="27"/>
          <w:szCs w:val="27"/>
          <w:lang w:val="fr-FR"/>
        </w:rPr>
        <w:t xml:space="preserve"> à 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l'accusateur afin de déterminer s'il </w:t>
      </w:r>
      <w:r w:rsidR="000C7085">
        <w:rPr>
          <w:rStyle w:val="goog-gtc-translatablegoog-gtc-from-mt"/>
          <w:sz w:val="27"/>
          <w:szCs w:val="27"/>
          <w:lang w:val="fr-FR"/>
        </w:rPr>
        <w:t xml:space="preserve">ou elle </w:t>
      </w:r>
      <w:r w:rsidRPr="00DD66B0">
        <w:rPr>
          <w:rStyle w:val="goog-gtc-translatablegoog-gtc-from-mt"/>
          <w:sz w:val="27"/>
          <w:szCs w:val="27"/>
          <w:lang w:val="fr-FR"/>
        </w:rPr>
        <w:t>était déjà infecté</w:t>
      </w:r>
      <w:r w:rsidR="000C7085">
        <w:rPr>
          <w:rStyle w:val="goog-gtc-translatablegoog-gtc-from-mt"/>
          <w:sz w:val="27"/>
          <w:szCs w:val="27"/>
          <w:lang w:val="fr-FR"/>
        </w:rPr>
        <w:t>(e)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 avant la plainte.</w:t>
      </w: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sz w:val="27"/>
          <w:szCs w:val="27"/>
          <w:lang w:val="fr-FR"/>
        </w:rPr>
        <w:t> </w:t>
      </w: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rStyle w:val="goog-gtc-translatablegoog-gtc-from-mt"/>
          <w:sz w:val="27"/>
          <w:szCs w:val="27"/>
          <w:lang w:val="fr-FR"/>
        </w:rPr>
        <w:t xml:space="preserve">K. </w:t>
      </w:r>
      <w:r w:rsidR="00960BBC">
        <w:rPr>
          <w:rStyle w:val="goog-gtc-translatablegoog-gtc-from-mt"/>
          <w:sz w:val="27"/>
          <w:szCs w:val="27"/>
          <w:lang w:val="fr-FR"/>
        </w:rPr>
        <w:t>Une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 preuve du statut </w:t>
      </w:r>
      <w:r w:rsidR="00960BBC">
        <w:rPr>
          <w:rStyle w:val="goog-gtc-translatablegoog-gtc-from-mt"/>
          <w:sz w:val="27"/>
          <w:szCs w:val="27"/>
          <w:lang w:val="fr-FR"/>
        </w:rPr>
        <w:t>sérologique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 des deux parties devrait être obtenue avant toute accusation relative à la transmission.</w:t>
      </w: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sz w:val="27"/>
          <w:szCs w:val="27"/>
          <w:lang w:val="fr-FR"/>
        </w:rPr>
        <w:t> </w:t>
      </w: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rStyle w:val="goog-gtc-translatablegoog-gtc-from-mt"/>
          <w:sz w:val="27"/>
          <w:szCs w:val="27"/>
          <w:lang w:val="fr-FR"/>
        </w:rPr>
        <w:t xml:space="preserve">L. Lorsqu'une plainte concerne une activité sexuelle au cours des dernières 72 heures, une prophylaxie </w:t>
      </w:r>
      <w:proofErr w:type="spellStart"/>
      <w:r w:rsidRPr="00DD66B0">
        <w:rPr>
          <w:rStyle w:val="goog-gtc-translatablegoog-gtc-from-mt"/>
          <w:sz w:val="27"/>
          <w:szCs w:val="27"/>
          <w:lang w:val="fr-FR"/>
        </w:rPr>
        <w:t>post-exposition</w:t>
      </w:r>
      <w:proofErr w:type="spellEnd"/>
      <w:r w:rsidRPr="00DD66B0">
        <w:rPr>
          <w:rStyle w:val="goog-gtc-translatablegoog-gtc-from-mt"/>
          <w:sz w:val="27"/>
          <w:szCs w:val="27"/>
          <w:lang w:val="fr-FR"/>
        </w:rPr>
        <w:t xml:space="preserve"> devrait toujours être proposée au plaignant.</w:t>
      </w: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sz w:val="27"/>
          <w:szCs w:val="27"/>
          <w:lang w:val="fr-FR"/>
        </w:rPr>
        <w:t> </w:t>
      </w: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rStyle w:val="goog-gtc-translatablegoog-gtc-from-mt"/>
          <w:sz w:val="27"/>
          <w:szCs w:val="27"/>
          <w:lang w:val="fr-FR"/>
        </w:rPr>
        <w:t xml:space="preserve">M. Les agents </w:t>
      </w:r>
      <w:r w:rsidR="00960BBC">
        <w:rPr>
          <w:rStyle w:val="goog-gtc-translatablegoog-gtc-from-mt"/>
          <w:sz w:val="27"/>
          <w:szCs w:val="27"/>
          <w:lang w:val="fr-FR"/>
        </w:rPr>
        <w:t>doivent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 envisager d’attendre la confirmation de la transmission avant de procéder à une arrestation et à une enquête.</w:t>
      </w: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sz w:val="27"/>
          <w:szCs w:val="27"/>
          <w:lang w:val="fr-FR"/>
        </w:rPr>
        <w:t> </w:t>
      </w: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rStyle w:val="goog-gtc-translatablegoog-gtc-from-mt"/>
          <w:sz w:val="27"/>
          <w:szCs w:val="27"/>
          <w:lang w:val="fr-FR"/>
        </w:rPr>
        <w:t xml:space="preserve">N. Une enquête plus large allant au-delà du plaignant initial ne devrait être ouverte que s’il est clair </w:t>
      </w:r>
      <w:r w:rsidR="00474B5F">
        <w:rPr>
          <w:rStyle w:val="goog-gtc-translatablegoog-gtc-from-mt"/>
          <w:sz w:val="27"/>
          <w:szCs w:val="27"/>
          <w:lang w:val="fr-FR"/>
        </w:rPr>
        <w:t>que ce plaignant a contracté le VIH et qu’une inculp</w:t>
      </w:r>
      <w:r w:rsidRPr="00DD66B0">
        <w:rPr>
          <w:rStyle w:val="goog-gtc-translatablegoog-gtc-from-mt"/>
          <w:sz w:val="27"/>
          <w:szCs w:val="27"/>
          <w:lang w:val="fr-FR"/>
        </w:rPr>
        <w:t>ation est possible.</w:t>
      </w: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sz w:val="27"/>
          <w:szCs w:val="27"/>
          <w:lang w:val="fr-FR"/>
        </w:rPr>
        <w:t> </w:t>
      </w:r>
    </w:p>
    <w:p w:rsidR="00BB4CD6" w:rsidRDefault="00DD66B0" w:rsidP="00DD66B0">
      <w:pPr>
        <w:pStyle w:val="NormalWeb"/>
        <w:spacing w:before="2" w:after="2"/>
        <w:rPr>
          <w:rStyle w:val="goog-gtc-translatablegoog-gtc-from-mt"/>
        </w:rPr>
      </w:pPr>
      <w:r w:rsidRPr="00DD66B0">
        <w:rPr>
          <w:rStyle w:val="goog-gtc-translatablegoog-gtc-from-mt"/>
          <w:sz w:val="27"/>
          <w:szCs w:val="27"/>
          <w:lang w:val="fr-FR"/>
        </w:rPr>
        <w:t xml:space="preserve">O. Aucun plaidoyer ne devrait être accepté sans </w:t>
      </w:r>
      <w:r w:rsidR="00474B5F">
        <w:rPr>
          <w:rStyle w:val="goog-gtc-translatablegoog-gtc-from-mt"/>
          <w:sz w:val="27"/>
          <w:szCs w:val="27"/>
          <w:lang w:val="fr-FR"/>
        </w:rPr>
        <w:t>effectuer un contrôle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 virologique et </w:t>
      </w:r>
      <w:r w:rsidR="00474B5F">
        <w:rPr>
          <w:rStyle w:val="goog-gtc-translatablegoog-gtc-from-mt"/>
          <w:sz w:val="27"/>
          <w:szCs w:val="27"/>
          <w:lang w:val="fr-FR"/>
        </w:rPr>
        <w:t>sans prendre note des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 antécédents sexuels des deux parties, comme indiqué dans les instructions du service des poursuites de la Couronne</w:t>
      </w:r>
      <w:r w:rsidR="00474B5F">
        <w:rPr>
          <w:rStyle w:val="goog-gtc-translatablegoog-gtc-from-mt"/>
          <w:sz w:val="27"/>
          <w:szCs w:val="27"/>
          <w:lang w:val="fr-FR"/>
        </w:rPr>
        <w:t xml:space="preserve"> </w:t>
      </w:r>
    </w:p>
    <w:p w:rsidR="00BB4CD6" w:rsidRDefault="00BB4CD6" w:rsidP="00DD66B0">
      <w:pPr>
        <w:pStyle w:val="NormalWeb"/>
        <w:spacing w:before="2" w:after="2"/>
        <w:rPr>
          <w:rStyle w:val="goog-gtc-translatablegoog-gtc-from-mt"/>
        </w:rPr>
      </w:pPr>
    </w:p>
    <w:p w:rsidR="00DD66B0" w:rsidRPr="00BB4CD6" w:rsidRDefault="00DD66B0" w:rsidP="00DD66B0">
      <w:pPr>
        <w:pStyle w:val="NormalWeb"/>
        <w:spacing w:before="2" w:after="2"/>
        <w:rPr>
          <w:b/>
          <w:sz w:val="27"/>
          <w:szCs w:val="27"/>
          <w:lang w:val="fr-FR"/>
        </w:rPr>
      </w:pPr>
      <w:r w:rsidRPr="00BB4CD6">
        <w:rPr>
          <w:rStyle w:val="goog-gtc-translatablegoog-gtc-from-mt"/>
          <w:b/>
          <w:sz w:val="27"/>
          <w:szCs w:val="27"/>
          <w:lang w:val="fr-FR"/>
        </w:rPr>
        <w:t>Gestion de problèmes spécifiques</w:t>
      </w: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sz w:val="27"/>
          <w:szCs w:val="27"/>
          <w:lang w:val="fr-FR"/>
        </w:rPr>
        <w:t> </w:t>
      </w: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rStyle w:val="goog-gtc-translatablegoog-gtc-from-mt"/>
          <w:sz w:val="27"/>
          <w:szCs w:val="27"/>
          <w:lang w:val="fr-FR"/>
        </w:rPr>
        <w:t xml:space="preserve">P. </w:t>
      </w:r>
      <w:r w:rsidR="00474B5F">
        <w:rPr>
          <w:rStyle w:val="goog-gtc-translatablegoog-gtc-from-mt"/>
          <w:sz w:val="27"/>
          <w:szCs w:val="27"/>
          <w:lang w:val="fr-FR"/>
        </w:rPr>
        <w:t>Il convient de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 prendre des précautions dans les </w:t>
      </w:r>
      <w:r w:rsidR="00474B5F">
        <w:rPr>
          <w:rStyle w:val="goog-gtc-translatablegoog-gtc-from-mt"/>
          <w:sz w:val="27"/>
          <w:szCs w:val="27"/>
          <w:lang w:val="fr-FR"/>
        </w:rPr>
        <w:t>affaires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 où la transmission du VIH constitue une </w:t>
      </w:r>
      <w:proofErr w:type="spellStart"/>
      <w:r w:rsidRPr="00DD66B0">
        <w:rPr>
          <w:rStyle w:val="goog-gtc-translatablegoog-gtc-from-mt"/>
          <w:sz w:val="27"/>
          <w:szCs w:val="27"/>
          <w:lang w:val="fr-FR"/>
        </w:rPr>
        <w:t>contre-allégation</w:t>
      </w:r>
      <w:proofErr w:type="spellEnd"/>
      <w:r w:rsidRPr="00DD66B0">
        <w:rPr>
          <w:rStyle w:val="goog-gtc-translatablegoog-gtc-from-mt"/>
          <w:sz w:val="27"/>
          <w:szCs w:val="27"/>
          <w:lang w:val="fr-FR"/>
        </w:rPr>
        <w:t xml:space="preserve"> émanant d'une personne accusée d'autres crimes ou </w:t>
      </w:r>
      <w:r w:rsidR="00474B5F">
        <w:rPr>
          <w:rStyle w:val="goog-gtc-translatablegoog-gtc-from-mt"/>
          <w:sz w:val="27"/>
          <w:szCs w:val="27"/>
          <w:lang w:val="fr-FR"/>
        </w:rPr>
        <w:t>méfaits</w:t>
      </w:r>
      <w:r w:rsidRPr="00DD66B0">
        <w:rPr>
          <w:rStyle w:val="goog-gtc-translatablegoog-gtc-from-mt"/>
          <w:sz w:val="27"/>
          <w:szCs w:val="27"/>
          <w:lang w:val="fr-FR"/>
        </w:rPr>
        <w:t>.</w:t>
      </w: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sz w:val="27"/>
          <w:szCs w:val="27"/>
          <w:lang w:val="fr-FR"/>
        </w:rPr>
        <w:t> </w:t>
      </w: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rStyle w:val="goog-gtc-translatablegoog-gtc-from-mt"/>
          <w:sz w:val="27"/>
          <w:szCs w:val="27"/>
          <w:lang w:val="fr-FR"/>
        </w:rPr>
        <w:t xml:space="preserve">Q. Une attention particulière doit être accordée à </w:t>
      </w:r>
      <w:r w:rsidR="001A50F8">
        <w:rPr>
          <w:rStyle w:val="goog-gtc-translatablegoog-gtc-from-mt"/>
          <w:sz w:val="27"/>
          <w:szCs w:val="27"/>
          <w:lang w:val="fr-FR"/>
        </w:rPr>
        <w:t>tout indice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 de violence domestique ou d'autres formes de harcèlement dans une affaire.</w:t>
      </w: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sz w:val="27"/>
          <w:szCs w:val="27"/>
          <w:lang w:val="fr-FR"/>
        </w:rPr>
        <w:t> </w:t>
      </w: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rStyle w:val="goog-gtc-translatablegoog-gtc-from-mt"/>
          <w:sz w:val="27"/>
          <w:szCs w:val="27"/>
          <w:lang w:val="fr-FR"/>
        </w:rPr>
        <w:t xml:space="preserve">R. </w:t>
      </w:r>
      <w:r w:rsidR="001A50F8">
        <w:rPr>
          <w:rStyle w:val="goog-gtc-translatablegoog-gtc-from-mt"/>
          <w:sz w:val="27"/>
          <w:szCs w:val="27"/>
          <w:lang w:val="fr-FR"/>
        </w:rPr>
        <w:t>Les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 agents </w:t>
      </w:r>
      <w:r w:rsidR="001A50F8">
        <w:rPr>
          <w:rStyle w:val="goog-gtc-translatablegoog-gtc-from-mt"/>
          <w:sz w:val="27"/>
          <w:szCs w:val="27"/>
          <w:lang w:val="fr-FR"/>
        </w:rPr>
        <w:t>doivent être guidés en ce qui concerne la diffusion d’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informations sensibles telles que le statut </w:t>
      </w:r>
      <w:r w:rsidR="001A50F8">
        <w:rPr>
          <w:rStyle w:val="goog-gtc-translatablegoog-gtc-from-mt"/>
          <w:sz w:val="27"/>
          <w:szCs w:val="27"/>
          <w:lang w:val="fr-FR"/>
        </w:rPr>
        <w:t>sérologique</w:t>
      </w:r>
      <w:r w:rsidRPr="00DD66B0">
        <w:rPr>
          <w:rStyle w:val="goog-gtc-translatablegoog-gtc-from-mt"/>
          <w:sz w:val="27"/>
          <w:szCs w:val="27"/>
          <w:lang w:val="fr-FR"/>
        </w:rPr>
        <w:t xml:space="preserve"> à d’autres</w:t>
      </w:r>
      <w:r w:rsidR="001A50F8">
        <w:rPr>
          <w:rStyle w:val="goog-gtc-translatablegoog-gtc-from-mt"/>
          <w:sz w:val="27"/>
          <w:szCs w:val="27"/>
          <w:lang w:val="fr-FR"/>
        </w:rPr>
        <w:t xml:space="preserve"> personnes</w:t>
      </w:r>
      <w:r w:rsidRPr="00DD66B0">
        <w:rPr>
          <w:rStyle w:val="goog-gtc-translatablegoog-gtc-from-mt"/>
          <w:sz w:val="27"/>
          <w:szCs w:val="27"/>
          <w:lang w:val="fr-FR"/>
        </w:rPr>
        <w:t>.</w:t>
      </w: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sz w:val="27"/>
          <w:szCs w:val="27"/>
          <w:lang w:val="fr-FR"/>
        </w:rPr>
        <w:t> </w:t>
      </w:r>
    </w:p>
    <w:p w:rsidR="00DD66B0" w:rsidRPr="00DD66B0" w:rsidRDefault="001A50F8" w:rsidP="00DD66B0">
      <w:pPr>
        <w:pStyle w:val="NormalWeb"/>
        <w:spacing w:before="2" w:after="2"/>
        <w:rPr>
          <w:sz w:val="27"/>
          <w:szCs w:val="27"/>
          <w:lang w:val="fr-FR"/>
        </w:rPr>
      </w:pPr>
      <w:r>
        <w:rPr>
          <w:rStyle w:val="goog-gtc-translatablegoog-gtc-from-mt"/>
          <w:sz w:val="27"/>
          <w:szCs w:val="27"/>
          <w:lang w:val="fr-FR"/>
        </w:rPr>
        <w:t xml:space="preserve">S. </w:t>
      </w:r>
      <w:r w:rsidR="00DD66B0" w:rsidRPr="00DD66B0">
        <w:rPr>
          <w:rStyle w:val="goog-gtc-translatablegoog-gtc-from-mt"/>
          <w:sz w:val="27"/>
          <w:szCs w:val="27"/>
          <w:lang w:val="fr-FR"/>
        </w:rPr>
        <w:t xml:space="preserve">Les agents devraient être aidés à prendre des décisions avant la réponse </w:t>
      </w:r>
      <w:r>
        <w:rPr>
          <w:rStyle w:val="goog-gtc-translatablegoog-gtc-from-mt"/>
          <w:sz w:val="27"/>
          <w:szCs w:val="27"/>
          <w:lang w:val="fr-FR"/>
        </w:rPr>
        <w:t>du procureur de la couronne</w:t>
      </w:r>
      <w:r w:rsidR="00DD66B0" w:rsidRPr="00DD66B0">
        <w:rPr>
          <w:rStyle w:val="goog-gtc-translatablegoog-gtc-from-mt"/>
          <w:sz w:val="27"/>
          <w:szCs w:val="27"/>
          <w:lang w:val="fr-FR"/>
        </w:rPr>
        <w:t xml:space="preserve"> lors de la clôture du dossier, le cas échéant.</w:t>
      </w:r>
    </w:p>
    <w:p w:rsidR="00DD66B0" w:rsidRPr="00DD66B0" w:rsidRDefault="00DD66B0" w:rsidP="00DD66B0">
      <w:pPr>
        <w:pStyle w:val="NormalWeb"/>
        <w:spacing w:before="2" w:after="2"/>
        <w:rPr>
          <w:sz w:val="27"/>
          <w:szCs w:val="27"/>
          <w:lang w:val="fr-FR"/>
        </w:rPr>
      </w:pPr>
      <w:r w:rsidRPr="00DD66B0">
        <w:rPr>
          <w:sz w:val="27"/>
          <w:szCs w:val="27"/>
          <w:lang w:val="fr-FR"/>
        </w:rPr>
        <w:t> </w:t>
      </w:r>
    </w:p>
    <w:p w:rsidR="00DD66B0" w:rsidRPr="00DD66B0" w:rsidRDefault="00DD66B0" w:rsidP="00DD66B0"/>
    <w:sectPr w:rsidR="00DD66B0" w:rsidRPr="00DD66B0" w:rsidSect="00DD66B0">
      <w:pgSz w:w="11900" w:h="16840"/>
      <w:pgMar w:top="1440" w:right="1800" w:bottom="1440" w:left="180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DD66B0"/>
    <w:rsid w:val="000C7085"/>
    <w:rsid w:val="001A50F8"/>
    <w:rsid w:val="0021553D"/>
    <w:rsid w:val="002E04A4"/>
    <w:rsid w:val="003377BB"/>
    <w:rsid w:val="00474B5F"/>
    <w:rsid w:val="006A7CE0"/>
    <w:rsid w:val="006F443F"/>
    <w:rsid w:val="008A0E83"/>
    <w:rsid w:val="008C6DAA"/>
    <w:rsid w:val="00960BBC"/>
    <w:rsid w:val="009F5B4C"/>
    <w:rsid w:val="00A229BD"/>
    <w:rsid w:val="00BB4CD6"/>
    <w:rsid w:val="00DD66B0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CC6"/>
    <w:rPr>
      <w:lang w:val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NormalWeb">
    <w:name w:val="Normal (Web)"/>
    <w:basedOn w:val="Normal"/>
    <w:uiPriority w:val="99"/>
    <w:rsid w:val="00DD66B0"/>
    <w:pPr>
      <w:spacing w:beforeLines="1" w:afterLines="1"/>
    </w:pPr>
    <w:rPr>
      <w:rFonts w:ascii="Times" w:hAnsi="Times" w:cs="Times New Roman"/>
      <w:sz w:val="20"/>
      <w:szCs w:val="20"/>
      <w:lang w:val="en-GB"/>
    </w:rPr>
  </w:style>
  <w:style w:type="character" w:customStyle="1" w:styleId="goog-gtc-translatablegoog-gtc-from-mt">
    <w:name w:val="goog-gtc-translatable goog-gtc-from-mt"/>
    <w:basedOn w:val="DefaultParagraphFont"/>
    <w:rsid w:val="00DD66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83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95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774</Words>
  <Characters>4414</Characters>
  <Application>Microsoft Macintosh Word</Application>
  <DocSecurity>0</DocSecurity>
  <Lines>36</Lines>
  <Paragraphs>8</Paragraphs>
  <ScaleCrop>false</ScaleCrop>
  <LinksUpToDate>false</LinksUpToDate>
  <CharactersWithSpaces>5420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Sylvie Beaumont</dc:creator>
  <cp:keywords/>
  <cp:lastModifiedBy>Sylvie Beaumont</cp:lastModifiedBy>
  <cp:revision>4</cp:revision>
  <dcterms:created xsi:type="dcterms:W3CDTF">2018-10-12T17:48:00Z</dcterms:created>
  <dcterms:modified xsi:type="dcterms:W3CDTF">2018-10-12T18:56:00Z</dcterms:modified>
</cp:coreProperties>
</file>